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C68E5" w14:textId="77777777" w:rsidR="009466A2" w:rsidRDefault="00BB7853">
      <w:pPr>
        <w:pStyle w:val="BodyText"/>
        <w:ind w:left="3354"/>
        <w:rPr>
          <w:rFonts w:ascii="Times New Roman"/>
          <w:sz w:val="20"/>
        </w:rPr>
      </w:pPr>
      <w:r>
        <w:rPr>
          <w:rFonts w:ascii="Times New Roman"/>
          <w:noProof/>
          <w:sz w:val="20"/>
        </w:rPr>
        <w:drawing>
          <wp:inline distT="0" distB="0" distL="0" distR="0" wp14:anchorId="5BFC691C" wp14:editId="5BFC691D">
            <wp:extent cx="1808289" cy="752094"/>
            <wp:effectExtent l="0" t="0" r="0" b="0"/>
            <wp:docPr id="4" name="Image 4"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logo"/>
                    <pic:cNvPicPr/>
                  </pic:nvPicPr>
                  <pic:blipFill>
                    <a:blip r:embed="rId11" cstate="print"/>
                    <a:stretch>
                      <a:fillRect/>
                    </a:stretch>
                  </pic:blipFill>
                  <pic:spPr>
                    <a:xfrm>
                      <a:off x="0" y="0"/>
                      <a:ext cx="1808289" cy="752094"/>
                    </a:xfrm>
                    <a:prstGeom prst="rect">
                      <a:avLst/>
                    </a:prstGeom>
                  </pic:spPr>
                </pic:pic>
              </a:graphicData>
            </a:graphic>
          </wp:inline>
        </w:drawing>
      </w:r>
    </w:p>
    <w:p w14:paraId="5BFC68E6" w14:textId="77777777" w:rsidR="009466A2" w:rsidRDefault="009466A2">
      <w:pPr>
        <w:pStyle w:val="BodyText"/>
        <w:spacing w:before="38"/>
        <w:ind w:left="0"/>
        <w:rPr>
          <w:rFonts w:ascii="Times New Roman"/>
          <w:sz w:val="24"/>
        </w:rPr>
      </w:pPr>
    </w:p>
    <w:p w14:paraId="5BFC68E7" w14:textId="77777777" w:rsidR="009466A2" w:rsidRDefault="00BB7853">
      <w:pPr>
        <w:pStyle w:val="Title"/>
      </w:pPr>
      <w:r>
        <w:t>Endowment</w:t>
      </w:r>
      <w:r>
        <w:rPr>
          <w:spacing w:val="-3"/>
        </w:rPr>
        <w:t xml:space="preserve"> </w:t>
      </w:r>
      <w:r>
        <w:t>Spending</w:t>
      </w:r>
      <w:r>
        <w:rPr>
          <w:spacing w:val="-2"/>
        </w:rPr>
        <w:t xml:space="preserve"> Policy</w:t>
      </w:r>
    </w:p>
    <w:p w14:paraId="5BFC68E8" w14:textId="77777777" w:rsidR="009466A2" w:rsidRDefault="009466A2">
      <w:pPr>
        <w:pStyle w:val="BodyText"/>
        <w:spacing w:before="59"/>
        <w:ind w:left="0"/>
        <w:rPr>
          <w:b/>
          <w:sz w:val="24"/>
        </w:rPr>
      </w:pPr>
    </w:p>
    <w:p w14:paraId="5BFC68E9" w14:textId="77777777" w:rsidR="009466A2" w:rsidRDefault="00BB7853">
      <w:pPr>
        <w:pStyle w:val="Heading1"/>
        <w:rPr>
          <w:u w:val="none"/>
        </w:rPr>
      </w:pPr>
      <w:r>
        <w:rPr>
          <w:spacing w:val="-2"/>
        </w:rPr>
        <w:t>Purpose</w:t>
      </w:r>
    </w:p>
    <w:p w14:paraId="5BFC68EA" w14:textId="77777777" w:rsidR="009466A2" w:rsidRDefault="00BB7853">
      <w:pPr>
        <w:pStyle w:val="BodyText"/>
        <w:spacing w:before="41"/>
        <w:ind w:right="184"/>
      </w:pPr>
      <w:r>
        <w:t>The</w:t>
      </w:r>
      <w:r>
        <w:rPr>
          <w:spacing w:val="-2"/>
        </w:rPr>
        <w:t xml:space="preserve"> </w:t>
      </w:r>
      <w:r>
        <w:t>purpose</w:t>
      </w:r>
      <w:r>
        <w:rPr>
          <w:spacing w:val="-2"/>
        </w:rPr>
        <w:t xml:space="preserve"> </w:t>
      </w:r>
      <w:r>
        <w:t>of</w:t>
      </w:r>
      <w:r>
        <w:rPr>
          <w:spacing w:val="-2"/>
        </w:rPr>
        <w:t xml:space="preserve"> </w:t>
      </w:r>
      <w:r>
        <w:t>this</w:t>
      </w:r>
      <w:r>
        <w:rPr>
          <w:spacing w:val="-2"/>
        </w:rPr>
        <w:t xml:space="preserve"> </w:t>
      </w:r>
      <w:r>
        <w:t>policy</w:t>
      </w:r>
      <w:r>
        <w:rPr>
          <w:spacing w:val="-4"/>
        </w:rPr>
        <w:t xml:space="preserve"> </w:t>
      </w:r>
      <w:r>
        <w:t>is</w:t>
      </w:r>
      <w:r>
        <w:rPr>
          <w:spacing w:val="-2"/>
        </w:rPr>
        <w:t xml:space="preserve"> </w:t>
      </w:r>
      <w:r>
        <w:t>to</w:t>
      </w:r>
      <w:r>
        <w:rPr>
          <w:spacing w:val="-4"/>
        </w:rPr>
        <w:t xml:space="preserve"> </w:t>
      </w:r>
      <w:r>
        <w:t>establish</w:t>
      </w:r>
      <w:r>
        <w:rPr>
          <w:spacing w:val="-2"/>
        </w:rPr>
        <w:t xml:space="preserve"> </w:t>
      </w:r>
      <w:r>
        <w:t>the</w:t>
      </w:r>
      <w:r>
        <w:rPr>
          <w:spacing w:val="-2"/>
        </w:rPr>
        <w:t xml:space="preserve"> </w:t>
      </w:r>
      <w:r>
        <w:t>procedures</w:t>
      </w:r>
      <w:r>
        <w:rPr>
          <w:spacing w:val="-1"/>
        </w:rPr>
        <w:t xml:space="preserve"> </w:t>
      </w:r>
      <w:r>
        <w:t>by</w:t>
      </w:r>
      <w:r>
        <w:rPr>
          <w:spacing w:val="-4"/>
        </w:rPr>
        <w:t xml:space="preserve"> </w:t>
      </w:r>
      <w:r>
        <w:t>which</w:t>
      </w:r>
      <w:r>
        <w:rPr>
          <w:spacing w:val="-4"/>
        </w:rPr>
        <w:t xml:space="preserve"> </w:t>
      </w:r>
      <w:r>
        <w:t>the</w:t>
      </w:r>
      <w:r>
        <w:rPr>
          <w:spacing w:val="-2"/>
        </w:rPr>
        <w:t xml:space="preserve"> </w:t>
      </w:r>
      <w:r>
        <w:t>Foundation</w:t>
      </w:r>
      <w:r>
        <w:rPr>
          <w:spacing w:val="-3"/>
        </w:rPr>
        <w:t xml:space="preserve"> </w:t>
      </w:r>
      <w:r>
        <w:t>will</w:t>
      </w:r>
      <w:r>
        <w:rPr>
          <w:spacing w:val="-2"/>
        </w:rPr>
        <w:t xml:space="preserve"> </w:t>
      </w:r>
      <w:r>
        <w:t>determine annually the expenditure allocations and associated administrative costs of its endowed funds.</w:t>
      </w:r>
    </w:p>
    <w:p w14:paraId="5BFC68EB" w14:textId="77777777" w:rsidR="009466A2" w:rsidRDefault="00BB7853">
      <w:pPr>
        <w:pStyle w:val="Heading1"/>
        <w:spacing w:before="267"/>
        <w:rPr>
          <w:u w:val="none"/>
        </w:rPr>
      </w:pPr>
      <w:r>
        <w:t>Endowed</w:t>
      </w:r>
      <w:r>
        <w:rPr>
          <w:spacing w:val="-6"/>
        </w:rPr>
        <w:t xml:space="preserve"> </w:t>
      </w:r>
      <w:r>
        <w:rPr>
          <w:spacing w:val="-2"/>
        </w:rPr>
        <w:t>Funds</w:t>
      </w:r>
    </w:p>
    <w:p w14:paraId="5BFC68EC" w14:textId="77777777" w:rsidR="009466A2" w:rsidRDefault="00BB7853">
      <w:pPr>
        <w:pStyle w:val="BodyText"/>
        <w:spacing w:before="1"/>
        <w:ind w:right="126"/>
      </w:pPr>
      <w:r>
        <w:t>The Foundation maintains two separate categories of endowed funds:</w:t>
      </w:r>
      <w:r>
        <w:rPr>
          <w:spacing w:val="40"/>
        </w:rPr>
        <w:t xml:space="preserve"> </w:t>
      </w:r>
      <w:r>
        <w:t>(1) Louisiana Board of Regents Support Funds matched endowments that support chairs, professorships, and scholarships and (2) general</w:t>
      </w:r>
      <w:r>
        <w:rPr>
          <w:spacing w:val="-2"/>
        </w:rPr>
        <w:t xml:space="preserve"> </w:t>
      </w:r>
      <w:r>
        <w:t>endowments</w:t>
      </w:r>
      <w:r>
        <w:rPr>
          <w:spacing w:val="-3"/>
        </w:rPr>
        <w:t xml:space="preserve"> </w:t>
      </w:r>
      <w:r>
        <w:t>that</w:t>
      </w:r>
      <w:r>
        <w:rPr>
          <w:spacing w:val="-3"/>
        </w:rPr>
        <w:t xml:space="preserve"> </w:t>
      </w:r>
      <w:r>
        <w:t>may</w:t>
      </w:r>
      <w:r>
        <w:rPr>
          <w:spacing w:val="-3"/>
        </w:rPr>
        <w:t xml:space="preserve"> </w:t>
      </w:r>
      <w:r>
        <w:t>include</w:t>
      </w:r>
      <w:r>
        <w:rPr>
          <w:spacing w:val="-1"/>
        </w:rPr>
        <w:t xml:space="preserve"> </w:t>
      </w:r>
      <w:r>
        <w:t>chairs,</w:t>
      </w:r>
      <w:r>
        <w:rPr>
          <w:spacing w:val="-4"/>
        </w:rPr>
        <w:t xml:space="preserve"> </w:t>
      </w:r>
      <w:r>
        <w:t>professorships,</w:t>
      </w:r>
      <w:r>
        <w:rPr>
          <w:spacing w:val="-1"/>
        </w:rPr>
        <w:t xml:space="preserve"> </w:t>
      </w:r>
      <w:r>
        <w:t>scholarships</w:t>
      </w:r>
      <w:r>
        <w:rPr>
          <w:spacing w:val="-1"/>
        </w:rPr>
        <w:t xml:space="preserve"> </w:t>
      </w:r>
      <w:r>
        <w:t>and</w:t>
      </w:r>
      <w:r>
        <w:rPr>
          <w:spacing w:val="-3"/>
        </w:rPr>
        <w:t xml:space="preserve"> </w:t>
      </w:r>
      <w:r>
        <w:t>a</w:t>
      </w:r>
      <w:r>
        <w:rPr>
          <w:spacing w:val="-5"/>
        </w:rPr>
        <w:t xml:space="preserve"> </w:t>
      </w:r>
      <w:r>
        <w:t>variety</w:t>
      </w:r>
      <w:r>
        <w:rPr>
          <w:spacing w:val="-3"/>
        </w:rPr>
        <w:t xml:space="preserve"> </w:t>
      </w:r>
      <w:r>
        <w:t>of</w:t>
      </w:r>
      <w:r>
        <w:rPr>
          <w:spacing w:val="-3"/>
        </w:rPr>
        <w:t xml:space="preserve"> </w:t>
      </w:r>
      <w:r>
        <w:t>other</w:t>
      </w:r>
      <w:r>
        <w:rPr>
          <w:spacing w:val="-4"/>
        </w:rPr>
        <w:t xml:space="preserve"> </w:t>
      </w:r>
      <w:r>
        <w:t>support to the LSU Health</w:t>
      </w:r>
      <w:r>
        <w:rPr>
          <w:spacing w:val="-3"/>
        </w:rPr>
        <w:t xml:space="preserve"> </w:t>
      </w:r>
      <w:r>
        <w:t>Sciences</w:t>
      </w:r>
      <w:r>
        <w:rPr>
          <w:spacing w:val="-1"/>
        </w:rPr>
        <w:t xml:space="preserve"> </w:t>
      </w:r>
      <w:r>
        <w:t>Center New</w:t>
      </w:r>
      <w:r>
        <w:rPr>
          <w:spacing w:val="-1"/>
        </w:rPr>
        <w:t xml:space="preserve"> </w:t>
      </w:r>
      <w:r>
        <w:t>Orleans.</w:t>
      </w:r>
      <w:r>
        <w:rPr>
          <w:spacing w:val="40"/>
        </w:rPr>
        <w:t xml:space="preserve"> </w:t>
      </w:r>
      <w:r>
        <w:t>The</w:t>
      </w:r>
      <w:r>
        <w:rPr>
          <w:spacing w:val="-1"/>
        </w:rPr>
        <w:t xml:space="preserve"> </w:t>
      </w:r>
      <w:r>
        <w:t>management,</w:t>
      </w:r>
      <w:r>
        <w:rPr>
          <w:spacing w:val="-1"/>
        </w:rPr>
        <w:t xml:space="preserve"> </w:t>
      </w:r>
      <w:r>
        <w:t>investment,</w:t>
      </w:r>
      <w:r>
        <w:rPr>
          <w:spacing w:val="-3"/>
        </w:rPr>
        <w:t xml:space="preserve"> </w:t>
      </w:r>
      <w:r>
        <w:t>and spending guidelines of the Louisiana Board of Regents matched endowments fall under the rules and policies of the</w:t>
      </w:r>
      <w:r>
        <w:rPr>
          <w:spacing w:val="40"/>
        </w:rPr>
        <w:t xml:space="preserve"> </w:t>
      </w:r>
      <w:r>
        <w:t>Louisiana Board of Regents.</w:t>
      </w:r>
    </w:p>
    <w:p w14:paraId="5BFC68ED" w14:textId="77777777" w:rsidR="009466A2" w:rsidRDefault="009466A2">
      <w:pPr>
        <w:pStyle w:val="BodyText"/>
        <w:spacing w:before="1"/>
        <w:ind w:left="0"/>
      </w:pPr>
    </w:p>
    <w:p w14:paraId="5BFC68EE" w14:textId="77777777" w:rsidR="009466A2" w:rsidRDefault="00BB7853">
      <w:pPr>
        <w:pStyle w:val="Heading1"/>
        <w:spacing w:before="1"/>
        <w:rPr>
          <w:u w:val="none"/>
        </w:rPr>
      </w:pPr>
      <w:r>
        <w:t>Uniform</w:t>
      </w:r>
      <w:r>
        <w:rPr>
          <w:spacing w:val="-6"/>
        </w:rPr>
        <w:t xml:space="preserve"> </w:t>
      </w:r>
      <w:r>
        <w:t>Prudent</w:t>
      </w:r>
      <w:r>
        <w:rPr>
          <w:spacing w:val="-5"/>
        </w:rPr>
        <w:t xml:space="preserve"> </w:t>
      </w:r>
      <w:r>
        <w:t>Management</w:t>
      </w:r>
      <w:r>
        <w:rPr>
          <w:spacing w:val="-6"/>
        </w:rPr>
        <w:t xml:space="preserve"> </w:t>
      </w:r>
      <w:r>
        <w:t>of</w:t>
      </w:r>
      <w:r>
        <w:rPr>
          <w:spacing w:val="-5"/>
        </w:rPr>
        <w:t xml:space="preserve"> </w:t>
      </w:r>
      <w:r>
        <w:t>Institutional</w:t>
      </w:r>
      <w:r>
        <w:rPr>
          <w:spacing w:val="-6"/>
        </w:rPr>
        <w:t xml:space="preserve"> </w:t>
      </w:r>
      <w:r>
        <w:t>Funds</w:t>
      </w:r>
      <w:r>
        <w:rPr>
          <w:spacing w:val="-5"/>
        </w:rPr>
        <w:t xml:space="preserve"> </w:t>
      </w:r>
      <w:r>
        <w:t>Act</w:t>
      </w:r>
      <w:r>
        <w:rPr>
          <w:spacing w:val="-7"/>
        </w:rPr>
        <w:t xml:space="preserve"> </w:t>
      </w:r>
      <w:r>
        <w:rPr>
          <w:spacing w:val="-2"/>
        </w:rPr>
        <w:t>(UPMIFA)</w:t>
      </w:r>
    </w:p>
    <w:p w14:paraId="5BFC68EF" w14:textId="77777777" w:rsidR="009466A2" w:rsidRDefault="00BB7853">
      <w:pPr>
        <w:pStyle w:val="BodyText"/>
        <w:spacing w:before="38"/>
        <w:ind w:right="168"/>
      </w:pPr>
      <w:r>
        <w:t>The Foundation manages its endowments in accordance with The Uniform Prudent Management of Institutional</w:t>
      </w:r>
      <w:r>
        <w:rPr>
          <w:spacing w:val="-2"/>
        </w:rPr>
        <w:t xml:space="preserve"> </w:t>
      </w:r>
      <w:r>
        <w:t>Funds</w:t>
      </w:r>
      <w:r>
        <w:rPr>
          <w:spacing w:val="-2"/>
        </w:rPr>
        <w:t xml:space="preserve"> </w:t>
      </w:r>
      <w:r>
        <w:t>Act</w:t>
      </w:r>
      <w:r>
        <w:rPr>
          <w:spacing w:val="-2"/>
        </w:rPr>
        <w:t xml:space="preserve"> </w:t>
      </w:r>
      <w:r>
        <w:t>(UPMIFA).</w:t>
      </w:r>
      <w:r>
        <w:rPr>
          <w:spacing w:val="40"/>
        </w:rPr>
        <w:t xml:space="preserve"> </w:t>
      </w:r>
      <w:r>
        <w:t>UPMIFA,</w:t>
      </w:r>
      <w:r>
        <w:rPr>
          <w:spacing w:val="-5"/>
        </w:rPr>
        <w:t xml:space="preserve"> </w:t>
      </w:r>
      <w:r>
        <w:t>as</w:t>
      </w:r>
      <w:r>
        <w:rPr>
          <w:spacing w:val="-2"/>
        </w:rPr>
        <w:t xml:space="preserve"> </w:t>
      </w:r>
      <w:r>
        <w:t>defined</w:t>
      </w:r>
      <w:r>
        <w:rPr>
          <w:spacing w:val="-5"/>
        </w:rPr>
        <w:t xml:space="preserve"> </w:t>
      </w:r>
      <w:r>
        <w:t>in</w:t>
      </w:r>
      <w:r>
        <w:rPr>
          <w:spacing w:val="-2"/>
        </w:rPr>
        <w:t xml:space="preserve"> </w:t>
      </w:r>
      <w:r>
        <w:t>Louisiana</w:t>
      </w:r>
      <w:r>
        <w:rPr>
          <w:spacing w:val="-5"/>
        </w:rPr>
        <w:t xml:space="preserve"> </w:t>
      </w:r>
      <w:r>
        <w:t>Revised</w:t>
      </w:r>
      <w:r>
        <w:rPr>
          <w:spacing w:val="-2"/>
        </w:rPr>
        <w:t xml:space="preserve"> </w:t>
      </w:r>
      <w:r>
        <w:t>Statute</w:t>
      </w:r>
      <w:r>
        <w:rPr>
          <w:spacing w:val="-2"/>
        </w:rPr>
        <w:t xml:space="preserve"> </w:t>
      </w:r>
      <w:r>
        <w:t>9:2337.1-10,</w:t>
      </w:r>
      <w:r>
        <w:rPr>
          <w:spacing w:val="-5"/>
        </w:rPr>
        <w:t xml:space="preserve"> </w:t>
      </w:r>
      <w:r>
        <w:t>became law on</w:t>
      </w:r>
      <w:r>
        <w:rPr>
          <w:spacing w:val="-1"/>
        </w:rPr>
        <w:t xml:space="preserve"> </w:t>
      </w:r>
      <w:r>
        <w:t xml:space="preserve">July 1, </w:t>
      </w:r>
      <w:proofErr w:type="gramStart"/>
      <w:r>
        <w:t>2010</w:t>
      </w:r>
      <w:proofErr w:type="gramEnd"/>
      <w:r>
        <w:t xml:space="preserve"> and replaced the Uniform Management of Institutional Funds Act.</w:t>
      </w:r>
      <w:r>
        <w:rPr>
          <w:spacing w:val="40"/>
        </w:rPr>
        <w:t xml:space="preserve"> </w:t>
      </w:r>
      <w:r>
        <w:t xml:space="preserve">UPMIFA governs the standards of conduct in managing and </w:t>
      </w:r>
      <w:proofErr w:type="gramStart"/>
      <w:r>
        <w:t>investing</w:t>
      </w:r>
      <w:proofErr w:type="gramEnd"/>
      <w:r>
        <w:t xml:space="preserve"> institutional funds, the formulation of spending rules that apply to institutional endowment funds, the delegation of authority to manage investment funds, and the release or modification of restrictions contained in charitable gifts made by donors.</w:t>
      </w:r>
    </w:p>
    <w:p w14:paraId="5BFC68F0" w14:textId="77777777" w:rsidR="009466A2" w:rsidRDefault="009466A2">
      <w:pPr>
        <w:pStyle w:val="BodyText"/>
        <w:spacing w:before="2"/>
        <w:ind w:left="0"/>
      </w:pPr>
    </w:p>
    <w:p w14:paraId="5BFC68F1" w14:textId="77777777" w:rsidR="009466A2" w:rsidRDefault="00BB7853">
      <w:pPr>
        <w:pStyle w:val="BodyText"/>
        <w:ind w:right="80"/>
      </w:pPr>
      <w:r>
        <w:t>Subject to the intent of the donor expressed in the gift instrument, the Foundation may appropriate for expenditure or accumulate so much of an endowment fund as it determines is prudent for the uses, benefits,</w:t>
      </w:r>
      <w:r>
        <w:rPr>
          <w:spacing w:val="-2"/>
        </w:rPr>
        <w:t xml:space="preserve"> </w:t>
      </w:r>
      <w:r>
        <w:t>purposes,</w:t>
      </w:r>
      <w:r>
        <w:rPr>
          <w:spacing w:val="-4"/>
        </w:rPr>
        <w:t xml:space="preserve"> </w:t>
      </w:r>
      <w:r>
        <w:t>and</w:t>
      </w:r>
      <w:r>
        <w:rPr>
          <w:spacing w:val="-4"/>
        </w:rPr>
        <w:t xml:space="preserve"> </w:t>
      </w:r>
      <w:r>
        <w:t>duration</w:t>
      </w:r>
      <w:r>
        <w:rPr>
          <w:spacing w:val="-3"/>
        </w:rPr>
        <w:t xml:space="preserve"> </w:t>
      </w:r>
      <w:r>
        <w:t>for</w:t>
      </w:r>
      <w:r>
        <w:rPr>
          <w:spacing w:val="-4"/>
        </w:rPr>
        <w:t xml:space="preserve"> </w:t>
      </w:r>
      <w:r>
        <w:t>which</w:t>
      </w:r>
      <w:r>
        <w:rPr>
          <w:spacing w:val="-4"/>
        </w:rPr>
        <w:t xml:space="preserve"> </w:t>
      </w:r>
      <w:r>
        <w:t>the</w:t>
      </w:r>
      <w:r>
        <w:rPr>
          <w:spacing w:val="-4"/>
        </w:rPr>
        <w:t xml:space="preserve"> </w:t>
      </w:r>
      <w:r>
        <w:t>endowment</w:t>
      </w:r>
      <w:r>
        <w:rPr>
          <w:spacing w:val="-4"/>
        </w:rPr>
        <w:t xml:space="preserve"> </w:t>
      </w:r>
      <w:r>
        <w:t>is</w:t>
      </w:r>
      <w:r>
        <w:rPr>
          <w:spacing w:val="-2"/>
        </w:rPr>
        <w:t xml:space="preserve"> </w:t>
      </w:r>
      <w:r>
        <w:t>established.</w:t>
      </w:r>
      <w:r>
        <w:rPr>
          <w:spacing w:val="40"/>
        </w:rPr>
        <w:t xml:space="preserve"> </w:t>
      </w:r>
      <w:r>
        <w:t>Unless</w:t>
      </w:r>
      <w:r>
        <w:rPr>
          <w:spacing w:val="-2"/>
        </w:rPr>
        <w:t xml:space="preserve"> </w:t>
      </w:r>
      <w:r>
        <w:t>stated</w:t>
      </w:r>
      <w:r>
        <w:rPr>
          <w:spacing w:val="-2"/>
        </w:rPr>
        <w:t xml:space="preserve"> </w:t>
      </w:r>
      <w:r>
        <w:t>otherwise</w:t>
      </w:r>
      <w:r>
        <w:rPr>
          <w:spacing w:val="-1"/>
        </w:rPr>
        <w:t xml:space="preserve"> </w:t>
      </w:r>
      <w:r>
        <w:t>in</w:t>
      </w:r>
      <w:r>
        <w:rPr>
          <w:spacing w:val="-1"/>
        </w:rPr>
        <w:t xml:space="preserve"> </w:t>
      </w:r>
      <w:r>
        <w:t xml:space="preserve">an approved gift instrument, the assets in an endowment fund are donor-restricted assets until </w:t>
      </w:r>
      <w:proofErr w:type="gramStart"/>
      <w:r>
        <w:t>appropriated</w:t>
      </w:r>
      <w:proofErr w:type="gramEnd"/>
      <w:r>
        <w:t xml:space="preserve"> for expenditure as directed by the financial policies of the Foundation.</w:t>
      </w:r>
    </w:p>
    <w:p w14:paraId="5BFC68F2" w14:textId="77777777" w:rsidR="009466A2" w:rsidRDefault="00BB7853">
      <w:pPr>
        <w:pStyle w:val="BodyText"/>
        <w:spacing w:before="268"/>
        <w:ind w:right="146"/>
        <w:jc w:val="both"/>
      </w:pPr>
      <w:r>
        <w:t>In</w:t>
      </w:r>
      <w:r>
        <w:rPr>
          <w:spacing w:val="-4"/>
        </w:rPr>
        <w:t xml:space="preserve"> </w:t>
      </w:r>
      <w:proofErr w:type="gramStart"/>
      <w:r>
        <w:t>making</w:t>
      </w:r>
      <w:r>
        <w:rPr>
          <w:spacing w:val="-3"/>
        </w:rPr>
        <w:t xml:space="preserve"> </w:t>
      </w:r>
      <w:r>
        <w:t>a</w:t>
      </w:r>
      <w:r>
        <w:rPr>
          <w:spacing w:val="-2"/>
        </w:rPr>
        <w:t xml:space="preserve"> </w:t>
      </w:r>
      <w:r>
        <w:t>determination</w:t>
      </w:r>
      <w:proofErr w:type="gramEnd"/>
      <w:r>
        <w:rPr>
          <w:spacing w:val="-5"/>
        </w:rPr>
        <w:t xml:space="preserve"> </w:t>
      </w:r>
      <w:r>
        <w:t>to</w:t>
      </w:r>
      <w:r>
        <w:rPr>
          <w:spacing w:val="-1"/>
        </w:rPr>
        <w:t xml:space="preserve"> </w:t>
      </w:r>
      <w:r>
        <w:t>appropriate</w:t>
      </w:r>
      <w:r>
        <w:rPr>
          <w:spacing w:val="-4"/>
        </w:rPr>
        <w:t xml:space="preserve"> </w:t>
      </w:r>
      <w:r>
        <w:t>or</w:t>
      </w:r>
      <w:r>
        <w:rPr>
          <w:spacing w:val="-5"/>
        </w:rPr>
        <w:t xml:space="preserve"> </w:t>
      </w:r>
      <w:r>
        <w:t>accumulate,</w:t>
      </w:r>
      <w:r>
        <w:rPr>
          <w:spacing w:val="-2"/>
        </w:rPr>
        <w:t xml:space="preserve"> </w:t>
      </w:r>
      <w:r>
        <w:t>the</w:t>
      </w:r>
      <w:r>
        <w:rPr>
          <w:spacing w:val="-2"/>
        </w:rPr>
        <w:t xml:space="preserve"> </w:t>
      </w:r>
      <w:r>
        <w:t>Foundation</w:t>
      </w:r>
      <w:r>
        <w:rPr>
          <w:spacing w:val="-3"/>
        </w:rPr>
        <w:t xml:space="preserve"> </w:t>
      </w:r>
      <w:r>
        <w:t>shall</w:t>
      </w:r>
      <w:r>
        <w:rPr>
          <w:spacing w:val="-2"/>
        </w:rPr>
        <w:t xml:space="preserve"> </w:t>
      </w:r>
      <w:r>
        <w:t>act</w:t>
      </w:r>
      <w:r>
        <w:rPr>
          <w:spacing w:val="-4"/>
        </w:rPr>
        <w:t xml:space="preserve"> </w:t>
      </w:r>
      <w:r>
        <w:t>in good</w:t>
      </w:r>
      <w:r>
        <w:rPr>
          <w:spacing w:val="-3"/>
        </w:rPr>
        <w:t xml:space="preserve"> </w:t>
      </w:r>
      <w:r>
        <w:t>faith,</w:t>
      </w:r>
      <w:r>
        <w:rPr>
          <w:spacing w:val="-5"/>
        </w:rPr>
        <w:t xml:space="preserve"> </w:t>
      </w:r>
      <w:r>
        <w:t>with</w:t>
      </w:r>
      <w:r>
        <w:rPr>
          <w:spacing w:val="-2"/>
        </w:rPr>
        <w:t xml:space="preserve"> </w:t>
      </w:r>
      <w:r>
        <w:t>the care that an</w:t>
      </w:r>
      <w:r>
        <w:rPr>
          <w:spacing w:val="-3"/>
        </w:rPr>
        <w:t xml:space="preserve"> </w:t>
      </w:r>
      <w:r>
        <w:t>ordinarily prudent person</w:t>
      </w:r>
      <w:r>
        <w:rPr>
          <w:spacing w:val="-1"/>
        </w:rPr>
        <w:t xml:space="preserve"> </w:t>
      </w:r>
      <w:r>
        <w:t>in a like position</w:t>
      </w:r>
      <w:r>
        <w:rPr>
          <w:spacing w:val="-1"/>
        </w:rPr>
        <w:t xml:space="preserve"> </w:t>
      </w:r>
      <w:r>
        <w:t>would</w:t>
      </w:r>
      <w:r>
        <w:rPr>
          <w:spacing w:val="-4"/>
        </w:rPr>
        <w:t xml:space="preserve"> </w:t>
      </w:r>
      <w:r>
        <w:t>exercise under</w:t>
      </w:r>
      <w:r>
        <w:rPr>
          <w:spacing w:val="-2"/>
        </w:rPr>
        <w:t xml:space="preserve"> </w:t>
      </w:r>
      <w:r>
        <w:t>similar circumstances, and shall consider, if relevant, the following seven factors:</w:t>
      </w:r>
    </w:p>
    <w:p w14:paraId="5BFC68F3" w14:textId="77777777" w:rsidR="009466A2" w:rsidRDefault="009466A2">
      <w:pPr>
        <w:pStyle w:val="BodyText"/>
        <w:spacing w:before="1"/>
        <w:ind w:left="0"/>
      </w:pPr>
    </w:p>
    <w:p w14:paraId="5BFC68F4" w14:textId="77777777" w:rsidR="009466A2" w:rsidRDefault="00BB7853">
      <w:pPr>
        <w:pStyle w:val="ListParagraph"/>
        <w:numPr>
          <w:ilvl w:val="0"/>
          <w:numId w:val="1"/>
        </w:numPr>
        <w:tabs>
          <w:tab w:val="left" w:pos="818"/>
        </w:tabs>
        <w:spacing w:before="0"/>
        <w:ind w:left="818" w:hanging="358"/>
      </w:pPr>
      <w:r>
        <w:t>The</w:t>
      </w:r>
      <w:r>
        <w:rPr>
          <w:spacing w:val="-3"/>
        </w:rPr>
        <w:t xml:space="preserve"> </w:t>
      </w:r>
      <w:r>
        <w:t>duration</w:t>
      </w:r>
      <w:r>
        <w:rPr>
          <w:spacing w:val="-4"/>
        </w:rPr>
        <w:t xml:space="preserve"> </w:t>
      </w:r>
      <w:r>
        <w:t>and</w:t>
      </w:r>
      <w:r>
        <w:rPr>
          <w:spacing w:val="-5"/>
        </w:rPr>
        <w:t xml:space="preserve"> </w:t>
      </w:r>
      <w:r>
        <w:t>preservation</w:t>
      </w:r>
      <w:r>
        <w:rPr>
          <w:spacing w:val="-3"/>
        </w:rPr>
        <w:t xml:space="preserve"> </w:t>
      </w:r>
      <w:r>
        <w:t>of</w:t>
      </w:r>
      <w:r>
        <w:rPr>
          <w:spacing w:val="-6"/>
        </w:rPr>
        <w:t xml:space="preserve"> </w:t>
      </w:r>
      <w:r>
        <w:t>the</w:t>
      </w:r>
      <w:r>
        <w:rPr>
          <w:spacing w:val="-5"/>
        </w:rPr>
        <w:t xml:space="preserve"> </w:t>
      </w:r>
      <w:r>
        <w:t>endowment</w:t>
      </w:r>
      <w:r>
        <w:rPr>
          <w:spacing w:val="-2"/>
        </w:rPr>
        <w:t xml:space="preserve"> </w:t>
      </w:r>
      <w:r>
        <w:rPr>
          <w:spacing w:val="-4"/>
        </w:rPr>
        <w:t>fund</w:t>
      </w:r>
    </w:p>
    <w:p w14:paraId="5BFC68F5" w14:textId="77777777" w:rsidR="009466A2" w:rsidRDefault="00BB7853">
      <w:pPr>
        <w:pStyle w:val="ListParagraph"/>
        <w:numPr>
          <w:ilvl w:val="0"/>
          <w:numId w:val="1"/>
        </w:numPr>
        <w:tabs>
          <w:tab w:val="left" w:pos="818"/>
        </w:tabs>
        <w:spacing w:before="39"/>
        <w:ind w:left="818" w:hanging="358"/>
      </w:pPr>
      <w:r>
        <w:t>The</w:t>
      </w:r>
      <w:r>
        <w:rPr>
          <w:spacing w:val="-4"/>
        </w:rPr>
        <w:t xml:space="preserve"> </w:t>
      </w:r>
      <w:r>
        <w:t>purposes</w:t>
      </w:r>
      <w:r>
        <w:rPr>
          <w:spacing w:val="-6"/>
        </w:rPr>
        <w:t xml:space="preserve"> </w:t>
      </w:r>
      <w:r>
        <w:t>of</w:t>
      </w:r>
      <w:r>
        <w:rPr>
          <w:spacing w:val="-4"/>
        </w:rPr>
        <w:t xml:space="preserve"> </w:t>
      </w:r>
      <w:r>
        <w:t>the</w:t>
      </w:r>
      <w:r>
        <w:rPr>
          <w:spacing w:val="-6"/>
        </w:rPr>
        <w:t xml:space="preserve"> </w:t>
      </w:r>
      <w:r>
        <w:t>institution</w:t>
      </w:r>
      <w:r>
        <w:rPr>
          <w:spacing w:val="-4"/>
        </w:rPr>
        <w:t xml:space="preserve"> </w:t>
      </w:r>
      <w:r>
        <w:t>and</w:t>
      </w:r>
      <w:r>
        <w:rPr>
          <w:spacing w:val="-6"/>
        </w:rPr>
        <w:t xml:space="preserve"> </w:t>
      </w:r>
      <w:r>
        <w:t>the</w:t>
      </w:r>
      <w:r>
        <w:rPr>
          <w:spacing w:val="-4"/>
        </w:rPr>
        <w:t xml:space="preserve"> </w:t>
      </w:r>
      <w:r>
        <w:t>endowment</w:t>
      </w:r>
      <w:r>
        <w:rPr>
          <w:spacing w:val="-6"/>
        </w:rPr>
        <w:t xml:space="preserve"> </w:t>
      </w:r>
      <w:r>
        <w:rPr>
          <w:spacing w:val="-4"/>
        </w:rPr>
        <w:t>fund</w:t>
      </w:r>
    </w:p>
    <w:p w14:paraId="5BFC68F6" w14:textId="77777777" w:rsidR="009466A2" w:rsidRDefault="00BB7853">
      <w:pPr>
        <w:pStyle w:val="ListParagraph"/>
        <w:numPr>
          <w:ilvl w:val="0"/>
          <w:numId w:val="1"/>
        </w:numPr>
        <w:tabs>
          <w:tab w:val="left" w:pos="818"/>
        </w:tabs>
        <w:ind w:left="818" w:hanging="358"/>
      </w:pPr>
      <w:r>
        <w:t>General</w:t>
      </w:r>
      <w:r>
        <w:rPr>
          <w:spacing w:val="-7"/>
        </w:rPr>
        <w:t xml:space="preserve"> </w:t>
      </w:r>
      <w:r>
        <w:t>economic</w:t>
      </w:r>
      <w:r>
        <w:rPr>
          <w:spacing w:val="-3"/>
        </w:rPr>
        <w:t xml:space="preserve"> </w:t>
      </w:r>
      <w:r>
        <w:rPr>
          <w:spacing w:val="-2"/>
        </w:rPr>
        <w:t>conditions</w:t>
      </w:r>
    </w:p>
    <w:p w14:paraId="5BFC68F7" w14:textId="77777777" w:rsidR="009466A2" w:rsidRDefault="00BB7853">
      <w:pPr>
        <w:pStyle w:val="ListParagraph"/>
        <w:numPr>
          <w:ilvl w:val="0"/>
          <w:numId w:val="1"/>
        </w:numPr>
        <w:tabs>
          <w:tab w:val="left" w:pos="818"/>
        </w:tabs>
        <w:ind w:left="818" w:hanging="358"/>
      </w:pPr>
      <w:r>
        <w:t>The</w:t>
      </w:r>
      <w:r>
        <w:rPr>
          <w:spacing w:val="-3"/>
        </w:rPr>
        <w:t xml:space="preserve"> </w:t>
      </w:r>
      <w:r>
        <w:t>possible</w:t>
      </w:r>
      <w:r>
        <w:rPr>
          <w:spacing w:val="-3"/>
        </w:rPr>
        <w:t xml:space="preserve"> </w:t>
      </w:r>
      <w:r>
        <w:t>effect</w:t>
      </w:r>
      <w:r>
        <w:rPr>
          <w:spacing w:val="-5"/>
        </w:rPr>
        <w:t xml:space="preserve"> </w:t>
      </w:r>
      <w:r>
        <w:t>of</w:t>
      </w:r>
      <w:r>
        <w:rPr>
          <w:spacing w:val="-5"/>
        </w:rPr>
        <w:t xml:space="preserve"> </w:t>
      </w:r>
      <w:r>
        <w:t>inflation</w:t>
      </w:r>
      <w:r>
        <w:rPr>
          <w:spacing w:val="-4"/>
        </w:rPr>
        <w:t xml:space="preserve"> </w:t>
      </w:r>
      <w:r>
        <w:t>or</w:t>
      </w:r>
      <w:r>
        <w:rPr>
          <w:spacing w:val="-5"/>
        </w:rPr>
        <w:t xml:space="preserve"> </w:t>
      </w:r>
      <w:r>
        <w:rPr>
          <w:spacing w:val="-2"/>
        </w:rPr>
        <w:t>deflation</w:t>
      </w:r>
    </w:p>
    <w:p w14:paraId="5BFC68F8" w14:textId="77777777" w:rsidR="009466A2" w:rsidRDefault="00BB7853">
      <w:pPr>
        <w:pStyle w:val="ListParagraph"/>
        <w:numPr>
          <w:ilvl w:val="0"/>
          <w:numId w:val="1"/>
        </w:numPr>
        <w:tabs>
          <w:tab w:val="left" w:pos="818"/>
        </w:tabs>
        <w:spacing w:before="39"/>
        <w:ind w:left="818" w:hanging="358"/>
      </w:pPr>
      <w:r>
        <w:t>The</w:t>
      </w:r>
      <w:r>
        <w:rPr>
          <w:spacing w:val="-4"/>
        </w:rPr>
        <w:t xml:space="preserve"> </w:t>
      </w:r>
      <w:r>
        <w:t>expected</w:t>
      </w:r>
      <w:r>
        <w:rPr>
          <w:spacing w:val="-4"/>
        </w:rPr>
        <w:t xml:space="preserve"> </w:t>
      </w:r>
      <w:r>
        <w:t>total</w:t>
      </w:r>
      <w:r>
        <w:rPr>
          <w:spacing w:val="-3"/>
        </w:rPr>
        <w:t xml:space="preserve"> </w:t>
      </w:r>
      <w:r>
        <w:t>return</w:t>
      </w:r>
      <w:r>
        <w:rPr>
          <w:spacing w:val="-5"/>
        </w:rPr>
        <w:t xml:space="preserve"> </w:t>
      </w:r>
      <w:r>
        <w:t>from</w:t>
      </w:r>
      <w:r>
        <w:rPr>
          <w:spacing w:val="-6"/>
        </w:rPr>
        <w:t xml:space="preserve"> </w:t>
      </w:r>
      <w:r>
        <w:t>income</w:t>
      </w:r>
      <w:r>
        <w:rPr>
          <w:spacing w:val="-3"/>
        </w:rPr>
        <w:t xml:space="preserve"> </w:t>
      </w:r>
      <w:r>
        <w:t>and</w:t>
      </w:r>
      <w:r>
        <w:rPr>
          <w:spacing w:val="-5"/>
        </w:rPr>
        <w:t xml:space="preserve"> </w:t>
      </w:r>
      <w:r>
        <w:t>the</w:t>
      </w:r>
      <w:r>
        <w:rPr>
          <w:spacing w:val="-5"/>
        </w:rPr>
        <w:t xml:space="preserve"> </w:t>
      </w:r>
      <w:r>
        <w:t>appreciation</w:t>
      </w:r>
      <w:r>
        <w:rPr>
          <w:spacing w:val="-7"/>
        </w:rPr>
        <w:t xml:space="preserve"> </w:t>
      </w:r>
      <w:r>
        <w:t>of</w:t>
      </w:r>
      <w:r>
        <w:rPr>
          <w:spacing w:val="-3"/>
        </w:rPr>
        <w:t xml:space="preserve"> </w:t>
      </w:r>
      <w:r>
        <w:rPr>
          <w:spacing w:val="-2"/>
        </w:rPr>
        <w:t>investments</w:t>
      </w:r>
    </w:p>
    <w:p w14:paraId="5BFC68F9" w14:textId="77777777" w:rsidR="009466A2" w:rsidRDefault="00BB7853">
      <w:pPr>
        <w:pStyle w:val="ListParagraph"/>
        <w:numPr>
          <w:ilvl w:val="0"/>
          <w:numId w:val="1"/>
        </w:numPr>
        <w:tabs>
          <w:tab w:val="left" w:pos="818"/>
        </w:tabs>
        <w:ind w:left="818" w:hanging="358"/>
      </w:pPr>
      <w:r>
        <w:t>Other</w:t>
      </w:r>
      <w:r>
        <w:rPr>
          <w:spacing w:val="-4"/>
        </w:rPr>
        <w:t xml:space="preserve"> </w:t>
      </w:r>
      <w:r>
        <w:t>resources</w:t>
      </w:r>
      <w:r>
        <w:rPr>
          <w:spacing w:val="-5"/>
        </w:rPr>
        <w:t xml:space="preserve"> </w:t>
      </w:r>
      <w:r>
        <w:t>of</w:t>
      </w:r>
      <w:r>
        <w:rPr>
          <w:spacing w:val="-5"/>
        </w:rPr>
        <w:t xml:space="preserve"> </w:t>
      </w:r>
      <w:r>
        <w:t>the</w:t>
      </w:r>
      <w:r>
        <w:rPr>
          <w:spacing w:val="-3"/>
        </w:rPr>
        <w:t xml:space="preserve"> </w:t>
      </w:r>
      <w:r>
        <w:t>Foundation</w:t>
      </w:r>
      <w:r>
        <w:rPr>
          <w:spacing w:val="-4"/>
        </w:rPr>
        <w:t xml:space="preserve"> </w:t>
      </w:r>
      <w:r>
        <w:t>and</w:t>
      </w:r>
      <w:r>
        <w:rPr>
          <w:spacing w:val="-2"/>
        </w:rPr>
        <w:t xml:space="preserve"> University</w:t>
      </w:r>
    </w:p>
    <w:p w14:paraId="5BFC68FA" w14:textId="77777777" w:rsidR="009466A2" w:rsidRDefault="00BB7853">
      <w:pPr>
        <w:pStyle w:val="ListParagraph"/>
        <w:numPr>
          <w:ilvl w:val="0"/>
          <w:numId w:val="1"/>
        </w:numPr>
        <w:tabs>
          <w:tab w:val="left" w:pos="818"/>
        </w:tabs>
        <w:ind w:left="818" w:hanging="358"/>
      </w:pPr>
      <w:r>
        <w:t>The</w:t>
      </w:r>
      <w:r>
        <w:rPr>
          <w:spacing w:val="-3"/>
        </w:rPr>
        <w:t xml:space="preserve"> </w:t>
      </w:r>
      <w:r>
        <w:t>investment</w:t>
      </w:r>
      <w:r>
        <w:rPr>
          <w:spacing w:val="-6"/>
        </w:rPr>
        <w:t xml:space="preserve"> </w:t>
      </w:r>
      <w:r>
        <w:t>policy</w:t>
      </w:r>
      <w:r>
        <w:rPr>
          <w:spacing w:val="-5"/>
        </w:rPr>
        <w:t xml:space="preserve"> </w:t>
      </w:r>
      <w:r>
        <w:t>of</w:t>
      </w:r>
      <w:r>
        <w:rPr>
          <w:spacing w:val="-3"/>
        </w:rPr>
        <w:t xml:space="preserve"> </w:t>
      </w:r>
      <w:r>
        <w:t>the</w:t>
      </w:r>
      <w:r>
        <w:rPr>
          <w:spacing w:val="-2"/>
        </w:rPr>
        <w:t xml:space="preserve"> Foundation</w:t>
      </w:r>
    </w:p>
    <w:p w14:paraId="5BFC68FB" w14:textId="77777777" w:rsidR="009466A2" w:rsidRDefault="009466A2">
      <w:pPr>
        <w:sectPr w:rsidR="009466A2">
          <w:footerReference w:type="default" r:id="rId12"/>
          <w:type w:val="continuous"/>
          <w:pgSz w:w="12240" w:h="15840"/>
          <w:pgMar w:top="1500" w:right="1320" w:bottom="1200" w:left="1340" w:header="0" w:footer="1004" w:gutter="0"/>
          <w:pgNumType w:start="1"/>
          <w:cols w:space="720"/>
        </w:sectPr>
      </w:pPr>
    </w:p>
    <w:p w14:paraId="5BFC68FC" w14:textId="77777777" w:rsidR="009466A2" w:rsidRDefault="00BB7853">
      <w:pPr>
        <w:pStyle w:val="Heading1"/>
        <w:spacing w:before="236"/>
        <w:rPr>
          <w:u w:val="none"/>
        </w:rPr>
      </w:pPr>
      <w:r>
        <w:lastRenderedPageBreak/>
        <w:t>Louisiana</w:t>
      </w:r>
      <w:r>
        <w:rPr>
          <w:spacing w:val="-5"/>
        </w:rPr>
        <w:t xml:space="preserve"> </w:t>
      </w:r>
      <w:r>
        <w:t>Board</w:t>
      </w:r>
      <w:r>
        <w:rPr>
          <w:spacing w:val="-4"/>
        </w:rPr>
        <w:t xml:space="preserve"> </w:t>
      </w:r>
      <w:r>
        <w:t>of</w:t>
      </w:r>
      <w:r>
        <w:rPr>
          <w:spacing w:val="-4"/>
        </w:rPr>
        <w:t xml:space="preserve"> </w:t>
      </w:r>
      <w:r>
        <w:rPr>
          <w:spacing w:val="-2"/>
        </w:rPr>
        <w:t>Regents</w:t>
      </w:r>
    </w:p>
    <w:p w14:paraId="5BFC68FD" w14:textId="77777777" w:rsidR="009466A2" w:rsidRDefault="00BB7853">
      <w:pPr>
        <w:pStyle w:val="BodyText"/>
        <w:spacing w:before="41"/>
        <w:ind w:right="184"/>
      </w:pPr>
      <w:r>
        <w:t>Annual</w:t>
      </w:r>
      <w:r>
        <w:rPr>
          <w:spacing w:val="-2"/>
        </w:rPr>
        <w:t xml:space="preserve"> </w:t>
      </w:r>
      <w:r>
        <w:t>spending</w:t>
      </w:r>
      <w:r>
        <w:rPr>
          <w:spacing w:val="-2"/>
        </w:rPr>
        <w:t xml:space="preserve"> </w:t>
      </w:r>
      <w:r>
        <w:t>related</w:t>
      </w:r>
      <w:r>
        <w:rPr>
          <w:spacing w:val="-2"/>
        </w:rPr>
        <w:t xml:space="preserve"> </w:t>
      </w:r>
      <w:r>
        <w:t>to</w:t>
      </w:r>
      <w:r>
        <w:rPr>
          <w:spacing w:val="-4"/>
        </w:rPr>
        <w:t xml:space="preserve"> </w:t>
      </w:r>
      <w:r>
        <w:t>all</w:t>
      </w:r>
      <w:r>
        <w:rPr>
          <w:spacing w:val="-1"/>
        </w:rPr>
        <w:t xml:space="preserve"> </w:t>
      </w:r>
      <w:r>
        <w:t>endowed</w:t>
      </w:r>
      <w:r>
        <w:rPr>
          <w:spacing w:val="-3"/>
        </w:rPr>
        <w:t xml:space="preserve"> </w:t>
      </w:r>
      <w:r>
        <w:t>funds</w:t>
      </w:r>
      <w:r>
        <w:rPr>
          <w:spacing w:val="-1"/>
        </w:rPr>
        <w:t xml:space="preserve"> </w:t>
      </w:r>
      <w:r>
        <w:t>is</w:t>
      </w:r>
      <w:r>
        <w:rPr>
          <w:spacing w:val="-4"/>
        </w:rPr>
        <w:t xml:space="preserve"> </w:t>
      </w:r>
      <w:r>
        <w:t>determined</w:t>
      </w:r>
      <w:r>
        <w:rPr>
          <w:spacing w:val="-2"/>
        </w:rPr>
        <w:t xml:space="preserve"> </w:t>
      </w:r>
      <w:r>
        <w:t>in</w:t>
      </w:r>
      <w:r>
        <w:rPr>
          <w:spacing w:val="-3"/>
        </w:rPr>
        <w:t xml:space="preserve"> </w:t>
      </w:r>
      <w:r>
        <w:t>accordance</w:t>
      </w:r>
      <w:r>
        <w:rPr>
          <w:spacing w:val="-4"/>
        </w:rPr>
        <w:t xml:space="preserve"> </w:t>
      </w:r>
      <w:r>
        <w:t>with</w:t>
      </w:r>
      <w:r>
        <w:rPr>
          <w:spacing w:val="-4"/>
        </w:rPr>
        <w:t xml:space="preserve"> </w:t>
      </w:r>
      <w:r>
        <w:t>UPMIFA.</w:t>
      </w:r>
      <w:r>
        <w:rPr>
          <w:spacing w:val="40"/>
        </w:rPr>
        <w:t xml:space="preserve"> </w:t>
      </w:r>
      <w:r>
        <w:t>However,</w:t>
      </w:r>
      <w:r>
        <w:rPr>
          <w:spacing w:val="-2"/>
        </w:rPr>
        <w:t xml:space="preserve"> </w:t>
      </w:r>
      <w:r>
        <w:t>for the</w:t>
      </w:r>
      <w:r>
        <w:rPr>
          <w:spacing w:val="-3"/>
        </w:rPr>
        <w:t xml:space="preserve"> </w:t>
      </w:r>
      <w:r>
        <w:t>Board</w:t>
      </w:r>
      <w:r>
        <w:rPr>
          <w:spacing w:val="-4"/>
        </w:rPr>
        <w:t xml:space="preserve"> </w:t>
      </w:r>
      <w:r>
        <w:t>of</w:t>
      </w:r>
      <w:r>
        <w:rPr>
          <w:spacing w:val="-5"/>
        </w:rPr>
        <w:t xml:space="preserve"> </w:t>
      </w:r>
      <w:r>
        <w:t>Regents</w:t>
      </w:r>
      <w:r>
        <w:rPr>
          <w:spacing w:val="-3"/>
        </w:rPr>
        <w:t xml:space="preserve"> </w:t>
      </w:r>
      <w:r>
        <w:t>Support</w:t>
      </w:r>
      <w:r>
        <w:rPr>
          <w:spacing w:val="-3"/>
        </w:rPr>
        <w:t xml:space="preserve"> </w:t>
      </w:r>
      <w:r>
        <w:t>Funds</w:t>
      </w:r>
      <w:r>
        <w:rPr>
          <w:spacing w:val="-4"/>
        </w:rPr>
        <w:t xml:space="preserve"> </w:t>
      </w:r>
      <w:r>
        <w:t>matched</w:t>
      </w:r>
      <w:r>
        <w:rPr>
          <w:spacing w:val="-1"/>
        </w:rPr>
        <w:t xml:space="preserve"> </w:t>
      </w:r>
      <w:r>
        <w:t>endowment</w:t>
      </w:r>
      <w:r>
        <w:rPr>
          <w:spacing w:val="-5"/>
        </w:rPr>
        <w:t xml:space="preserve"> </w:t>
      </w:r>
      <w:r>
        <w:t>funds</w:t>
      </w:r>
      <w:r>
        <w:rPr>
          <w:spacing w:val="-3"/>
        </w:rPr>
        <w:t xml:space="preserve"> </w:t>
      </w:r>
      <w:r>
        <w:t>in</w:t>
      </w:r>
      <w:r>
        <w:rPr>
          <w:spacing w:val="-3"/>
        </w:rPr>
        <w:t xml:space="preserve"> </w:t>
      </w:r>
      <w:r>
        <w:t>the</w:t>
      </w:r>
      <w:r>
        <w:rPr>
          <w:spacing w:val="-4"/>
        </w:rPr>
        <w:t xml:space="preserve"> </w:t>
      </w:r>
      <w:r>
        <w:t>endowed</w:t>
      </w:r>
      <w:r>
        <w:rPr>
          <w:spacing w:val="-4"/>
        </w:rPr>
        <w:t xml:space="preserve"> </w:t>
      </w:r>
      <w:r>
        <w:t>chairs,</w:t>
      </w:r>
      <w:r>
        <w:rPr>
          <w:spacing w:val="-3"/>
        </w:rPr>
        <w:t xml:space="preserve"> </w:t>
      </w:r>
      <w:r>
        <w:t>professorships, and scholarships pool, the Foundation is restricted to the spending policy limitations imposed by the Louisiana Board of Regents in its Statement of Investment Policy and Objectives, and the Board of Regents Support Fund</w:t>
      </w:r>
      <w:r>
        <w:rPr>
          <w:spacing w:val="-1"/>
        </w:rPr>
        <w:t xml:space="preserve"> </w:t>
      </w:r>
      <w:r>
        <w:t>Program</w:t>
      </w:r>
      <w:r>
        <w:rPr>
          <w:spacing w:val="-2"/>
        </w:rPr>
        <w:t xml:space="preserve"> </w:t>
      </w:r>
      <w:r>
        <w:t>Policies.</w:t>
      </w:r>
      <w:r>
        <w:rPr>
          <w:spacing w:val="40"/>
        </w:rPr>
        <w:t xml:space="preserve"> </w:t>
      </w:r>
      <w:r>
        <w:t>For</w:t>
      </w:r>
      <w:r>
        <w:rPr>
          <w:spacing w:val="-2"/>
        </w:rPr>
        <w:t xml:space="preserve"> </w:t>
      </w:r>
      <w:r>
        <w:t>this pool,</w:t>
      </w:r>
      <w:r>
        <w:rPr>
          <w:spacing w:val="-2"/>
        </w:rPr>
        <w:t xml:space="preserve"> </w:t>
      </w:r>
      <w:r>
        <w:t>the</w:t>
      </w:r>
      <w:r>
        <w:rPr>
          <w:spacing w:val="-2"/>
        </w:rPr>
        <w:t xml:space="preserve"> </w:t>
      </w:r>
      <w:r>
        <w:t>market</w:t>
      </w:r>
      <w:r>
        <w:rPr>
          <w:spacing w:val="-2"/>
        </w:rPr>
        <w:t xml:space="preserve"> </w:t>
      </w:r>
      <w:r>
        <w:t>value</w:t>
      </w:r>
      <w:r>
        <w:rPr>
          <w:spacing w:val="-2"/>
        </w:rPr>
        <w:t xml:space="preserve"> </w:t>
      </w:r>
      <w:r>
        <w:t>of each</w:t>
      </w:r>
      <w:r>
        <w:rPr>
          <w:spacing w:val="-1"/>
        </w:rPr>
        <w:t xml:space="preserve"> </w:t>
      </w:r>
      <w:r>
        <w:t>endowment at the end of the most recent fiscal trust fund year must exceed the original corpus of the endowment by an amount at least equal to the amount to be spent in the next fiscal trust fund year for which a spending allocation is to be made. When the current market value of each endowment in this pool is below the original</w:t>
      </w:r>
      <w:r>
        <w:rPr>
          <w:spacing w:val="-1"/>
        </w:rPr>
        <w:t xml:space="preserve"> </w:t>
      </w:r>
      <w:r>
        <w:t>corpus</w:t>
      </w:r>
      <w:r>
        <w:rPr>
          <w:spacing w:val="-1"/>
        </w:rPr>
        <w:t xml:space="preserve"> </w:t>
      </w:r>
      <w:r>
        <w:t>of</w:t>
      </w:r>
      <w:r>
        <w:rPr>
          <w:spacing w:val="-4"/>
        </w:rPr>
        <w:t xml:space="preserve"> </w:t>
      </w:r>
      <w:r>
        <w:t>that</w:t>
      </w:r>
      <w:r>
        <w:rPr>
          <w:spacing w:val="-3"/>
        </w:rPr>
        <w:t xml:space="preserve"> </w:t>
      </w:r>
      <w:r>
        <w:t>endowment</w:t>
      </w:r>
      <w:r>
        <w:rPr>
          <w:spacing w:val="-1"/>
        </w:rPr>
        <w:t xml:space="preserve"> </w:t>
      </w:r>
      <w:r>
        <w:t>(“underwater</w:t>
      </w:r>
      <w:r>
        <w:rPr>
          <w:spacing w:val="-1"/>
        </w:rPr>
        <w:t xml:space="preserve"> </w:t>
      </w:r>
      <w:r>
        <w:t>endowment”),</w:t>
      </w:r>
      <w:r>
        <w:rPr>
          <w:spacing w:val="-4"/>
        </w:rPr>
        <w:t xml:space="preserve"> </w:t>
      </w:r>
      <w:r>
        <w:t>no</w:t>
      </w:r>
      <w:r>
        <w:rPr>
          <w:spacing w:val="-3"/>
        </w:rPr>
        <w:t xml:space="preserve"> </w:t>
      </w:r>
      <w:r>
        <w:t>spending</w:t>
      </w:r>
      <w:r>
        <w:rPr>
          <w:spacing w:val="-2"/>
        </w:rPr>
        <w:t xml:space="preserve"> </w:t>
      </w:r>
      <w:r>
        <w:t>is</w:t>
      </w:r>
      <w:r>
        <w:rPr>
          <w:spacing w:val="-1"/>
        </w:rPr>
        <w:t xml:space="preserve"> </w:t>
      </w:r>
      <w:r>
        <w:t>allowed.</w:t>
      </w:r>
      <w:r>
        <w:rPr>
          <w:spacing w:val="40"/>
        </w:rPr>
        <w:t xml:space="preserve"> </w:t>
      </w:r>
      <w:r>
        <w:t>This</w:t>
      </w:r>
      <w:r>
        <w:rPr>
          <w:spacing w:val="-1"/>
        </w:rPr>
        <w:t xml:space="preserve"> </w:t>
      </w:r>
      <w:r>
        <w:t>limitation does not apply to the Foundation’s other endowed pool.</w:t>
      </w:r>
    </w:p>
    <w:p w14:paraId="5BFC68FE" w14:textId="77777777" w:rsidR="009466A2" w:rsidRDefault="009466A2">
      <w:pPr>
        <w:pStyle w:val="BodyText"/>
        <w:spacing w:before="1"/>
        <w:ind w:left="0"/>
      </w:pPr>
    </w:p>
    <w:p w14:paraId="5BFC68FF" w14:textId="77777777" w:rsidR="009466A2" w:rsidRDefault="00BB7853">
      <w:pPr>
        <w:pStyle w:val="BodyText"/>
        <w:ind w:right="184"/>
      </w:pPr>
      <w:r>
        <w:rPr>
          <w:u w:val="single"/>
        </w:rPr>
        <w:t>The</w:t>
      </w:r>
      <w:r>
        <w:rPr>
          <w:spacing w:val="-2"/>
          <w:u w:val="single"/>
        </w:rPr>
        <w:t xml:space="preserve"> </w:t>
      </w:r>
      <w:r>
        <w:rPr>
          <w:u w:val="single"/>
        </w:rPr>
        <w:t>following</w:t>
      </w:r>
      <w:r>
        <w:rPr>
          <w:spacing w:val="-4"/>
          <w:u w:val="single"/>
        </w:rPr>
        <w:t xml:space="preserve"> </w:t>
      </w:r>
      <w:r>
        <w:rPr>
          <w:u w:val="single"/>
        </w:rPr>
        <w:t>requirements</w:t>
      </w:r>
      <w:r>
        <w:rPr>
          <w:spacing w:val="-2"/>
          <w:u w:val="single"/>
        </w:rPr>
        <w:t xml:space="preserve"> </w:t>
      </w:r>
      <w:r>
        <w:rPr>
          <w:u w:val="single"/>
        </w:rPr>
        <w:t>are</w:t>
      </w:r>
      <w:r>
        <w:rPr>
          <w:spacing w:val="-1"/>
          <w:u w:val="single"/>
        </w:rPr>
        <w:t xml:space="preserve"> </w:t>
      </w:r>
      <w:r>
        <w:rPr>
          <w:u w:val="single"/>
        </w:rPr>
        <w:t>included</w:t>
      </w:r>
      <w:r>
        <w:rPr>
          <w:spacing w:val="-2"/>
          <w:u w:val="single"/>
        </w:rPr>
        <w:t xml:space="preserve"> </w:t>
      </w:r>
      <w:r>
        <w:rPr>
          <w:u w:val="single"/>
        </w:rPr>
        <w:t>in</w:t>
      </w:r>
      <w:r>
        <w:rPr>
          <w:spacing w:val="-5"/>
          <w:u w:val="single"/>
        </w:rPr>
        <w:t xml:space="preserve"> </w:t>
      </w:r>
      <w:r>
        <w:rPr>
          <w:u w:val="single"/>
        </w:rPr>
        <w:t>the</w:t>
      </w:r>
      <w:r>
        <w:rPr>
          <w:spacing w:val="-2"/>
          <w:u w:val="single"/>
        </w:rPr>
        <w:t xml:space="preserve"> </w:t>
      </w:r>
      <w:r>
        <w:rPr>
          <w:u w:val="single"/>
        </w:rPr>
        <w:t>programmatic</w:t>
      </w:r>
      <w:r>
        <w:rPr>
          <w:spacing w:val="-2"/>
          <w:u w:val="single"/>
        </w:rPr>
        <w:t xml:space="preserve"> </w:t>
      </w:r>
      <w:r>
        <w:rPr>
          <w:u w:val="single"/>
        </w:rPr>
        <w:t>policies</w:t>
      </w:r>
      <w:r>
        <w:rPr>
          <w:spacing w:val="-2"/>
          <w:u w:val="single"/>
        </w:rPr>
        <w:t xml:space="preserve"> </w:t>
      </w:r>
      <w:r>
        <w:rPr>
          <w:u w:val="single"/>
        </w:rPr>
        <w:t>of</w:t>
      </w:r>
      <w:r>
        <w:rPr>
          <w:spacing w:val="-5"/>
          <w:u w:val="single"/>
        </w:rPr>
        <w:t xml:space="preserve"> </w:t>
      </w:r>
      <w:r>
        <w:rPr>
          <w:u w:val="single"/>
        </w:rPr>
        <w:t>the</w:t>
      </w:r>
      <w:r>
        <w:rPr>
          <w:spacing w:val="-4"/>
          <w:u w:val="single"/>
        </w:rPr>
        <w:t xml:space="preserve"> </w:t>
      </w:r>
      <w:r>
        <w:rPr>
          <w:u w:val="single"/>
        </w:rPr>
        <w:t>Louisiana</w:t>
      </w:r>
      <w:r>
        <w:rPr>
          <w:spacing w:val="-2"/>
          <w:u w:val="single"/>
        </w:rPr>
        <w:t xml:space="preserve"> </w:t>
      </w:r>
      <w:r>
        <w:rPr>
          <w:u w:val="single"/>
        </w:rPr>
        <w:t>Board</w:t>
      </w:r>
      <w:r>
        <w:rPr>
          <w:spacing w:val="-6"/>
          <w:u w:val="single"/>
        </w:rPr>
        <w:t xml:space="preserve"> </w:t>
      </w:r>
      <w:r>
        <w:rPr>
          <w:u w:val="single"/>
        </w:rPr>
        <w:t>of</w:t>
      </w:r>
      <w:r>
        <w:rPr>
          <w:spacing w:val="-4"/>
          <w:u w:val="single"/>
        </w:rPr>
        <w:t xml:space="preserve"> </w:t>
      </w:r>
      <w:r>
        <w:rPr>
          <w:u w:val="single"/>
        </w:rPr>
        <w:t>Regents</w:t>
      </w:r>
      <w:r>
        <w:t xml:space="preserve"> </w:t>
      </w:r>
      <w:r>
        <w:rPr>
          <w:u w:val="single"/>
        </w:rPr>
        <w:t xml:space="preserve">as </w:t>
      </w:r>
      <w:proofErr w:type="gramStart"/>
      <w:r>
        <w:rPr>
          <w:u w:val="single"/>
        </w:rPr>
        <w:t>it pertains</w:t>
      </w:r>
      <w:proofErr w:type="gramEnd"/>
      <w:r>
        <w:rPr>
          <w:u w:val="single"/>
        </w:rPr>
        <w:t xml:space="preserve"> to the spending allocations of endowed funds:</w:t>
      </w:r>
    </w:p>
    <w:p w14:paraId="5BFC6900" w14:textId="77777777" w:rsidR="009466A2" w:rsidRDefault="009466A2">
      <w:pPr>
        <w:pStyle w:val="BodyText"/>
        <w:spacing w:before="1"/>
        <w:ind w:left="0"/>
      </w:pPr>
    </w:p>
    <w:p w14:paraId="5BFC6901" w14:textId="77777777" w:rsidR="009466A2" w:rsidRDefault="00BB7853">
      <w:pPr>
        <w:pStyle w:val="BodyText"/>
        <w:ind w:right="144"/>
      </w:pPr>
      <w:r>
        <w:t>The Board of Regents recognizes that, consistent with UPMIFA, endowments should preserve</w:t>
      </w:r>
      <w:r>
        <w:rPr>
          <w:spacing w:val="40"/>
        </w:rPr>
        <w:t xml:space="preserve"> </w:t>
      </w:r>
      <w:r>
        <w:t>purchasing power and be protected against market downturns. It is not, however, consistent with the programmatic intent of Board of Regents’ endowment programs or the Constitutional provisions establishing the Support Fund for excessive earnings to be retained as market value in these accounts. Accordingly,</w:t>
      </w:r>
      <w:r>
        <w:rPr>
          <w:spacing w:val="-4"/>
        </w:rPr>
        <w:t xml:space="preserve"> </w:t>
      </w:r>
      <w:r>
        <w:t>campuses</w:t>
      </w:r>
      <w:r>
        <w:rPr>
          <w:spacing w:val="-1"/>
        </w:rPr>
        <w:t xml:space="preserve"> </w:t>
      </w:r>
      <w:r>
        <w:t>shall</w:t>
      </w:r>
      <w:r>
        <w:rPr>
          <w:spacing w:val="-2"/>
        </w:rPr>
        <w:t xml:space="preserve"> </w:t>
      </w:r>
      <w:r>
        <w:t>maximize</w:t>
      </w:r>
      <w:r>
        <w:rPr>
          <w:spacing w:val="-4"/>
        </w:rPr>
        <w:t xml:space="preserve"> </w:t>
      </w:r>
      <w:r>
        <w:t>allocation</w:t>
      </w:r>
      <w:r>
        <w:rPr>
          <w:spacing w:val="-6"/>
        </w:rPr>
        <w:t xml:space="preserve"> </w:t>
      </w:r>
      <w:r>
        <w:t>of</w:t>
      </w:r>
      <w:r>
        <w:rPr>
          <w:spacing w:val="-4"/>
        </w:rPr>
        <w:t xml:space="preserve"> </w:t>
      </w:r>
      <w:r>
        <w:t>funds</w:t>
      </w:r>
      <w:r>
        <w:rPr>
          <w:spacing w:val="-2"/>
        </w:rPr>
        <w:t xml:space="preserve"> </w:t>
      </w:r>
      <w:r>
        <w:t>for</w:t>
      </w:r>
      <w:r>
        <w:rPr>
          <w:spacing w:val="-2"/>
        </w:rPr>
        <w:t xml:space="preserve"> </w:t>
      </w:r>
      <w:r>
        <w:t>expenditure</w:t>
      </w:r>
      <w:r>
        <w:rPr>
          <w:spacing w:val="-4"/>
        </w:rPr>
        <w:t xml:space="preserve"> </w:t>
      </w:r>
      <w:r>
        <w:t>and</w:t>
      </w:r>
      <w:r>
        <w:rPr>
          <w:spacing w:val="-3"/>
        </w:rPr>
        <w:t xml:space="preserve"> </w:t>
      </w:r>
      <w:r>
        <w:t>limit,</w:t>
      </w:r>
      <w:r>
        <w:rPr>
          <w:spacing w:val="-4"/>
        </w:rPr>
        <w:t xml:space="preserve"> </w:t>
      </w:r>
      <w:r>
        <w:t>within</w:t>
      </w:r>
      <w:r>
        <w:rPr>
          <w:spacing w:val="-4"/>
        </w:rPr>
        <w:t xml:space="preserve"> </w:t>
      </w:r>
      <w:r>
        <w:t>the</w:t>
      </w:r>
      <w:r>
        <w:rPr>
          <w:spacing w:val="-2"/>
        </w:rPr>
        <w:t xml:space="preserve"> </w:t>
      </w:r>
      <w:r>
        <w:t>bounds</w:t>
      </w:r>
      <w:r>
        <w:rPr>
          <w:spacing w:val="-4"/>
        </w:rPr>
        <w:t xml:space="preserve"> </w:t>
      </w:r>
      <w:r>
        <w:t xml:space="preserve">of prudence, retention, and long-term investment of earnings within the account </w:t>
      </w:r>
      <w:proofErr w:type="gramStart"/>
      <w:r>
        <w:t>in excess of</w:t>
      </w:r>
      <w:proofErr w:type="gramEnd"/>
      <w:r>
        <w:t xml:space="preserve"> the amount necessary</w:t>
      </w:r>
      <w:r>
        <w:rPr>
          <w:spacing w:val="-1"/>
        </w:rPr>
        <w:t xml:space="preserve"> </w:t>
      </w:r>
      <w:r>
        <w:t>to buffer</w:t>
      </w:r>
      <w:r>
        <w:rPr>
          <w:spacing w:val="-4"/>
        </w:rPr>
        <w:t xml:space="preserve"> </w:t>
      </w:r>
      <w:r>
        <w:t>against</w:t>
      </w:r>
      <w:r>
        <w:rPr>
          <w:spacing w:val="-3"/>
        </w:rPr>
        <w:t xml:space="preserve"> </w:t>
      </w:r>
      <w:r>
        <w:t>inflation.</w:t>
      </w:r>
      <w:r>
        <w:rPr>
          <w:spacing w:val="-1"/>
        </w:rPr>
        <w:t xml:space="preserve"> </w:t>
      </w:r>
      <w:r>
        <w:t>The</w:t>
      </w:r>
      <w:r>
        <w:rPr>
          <w:spacing w:val="-1"/>
        </w:rPr>
        <w:t xml:space="preserve"> </w:t>
      </w:r>
      <w:r>
        <w:t>entity</w:t>
      </w:r>
      <w:r>
        <w:rPr>
          <w:spacing w:val="-2"/>
        </w:rPr>
        <w:t xml:space="preserve"> </w:t>
      </w:r>
      <w:r>
        <w:t>selected</w:t>
      </w:r>
      <w:r>
        <w:rPr>
          <w:spacing w:val="-1"/>
        </w:rPr>
        <w:t xml:space="preserve"> </w:t>
      </w:r>
      <w:r>
        <w:t>by</w:t>
      </w:r>
      <w:r>
        <w:rPr>
          <w:spacing w:val="-1"/>
        </w:rPr>
        <w:t xml:space="preserve"> </w:t>
      </w:r>
      <w:r>
        <w:t>the</w:t>
      </w:r>
      <w:r>
        <w:rPr>
          <w:spacing w:val="-1"/>
        </w:rPr>
        <w:t xml:space="preserve"> </w:t>
      </w:r>
      <w:r>
        <w:t>campus</w:t>
      </w:r>
      <w:r>
        <w:rPr>
          <w:spacing w:val="-1"/>
        </w:rPr>
        <w:t xml:space="preserve"> </w:t>
      </w:r>
      <w:r>
        <w:t>to</w:t>
      </w:r>
      <w:r>
        <w:rPr>
          <w:spacing w:val="-2"/>
        </w:rPr>
        <w:t xml:space="preserve"> </w:t>
      </w:r>
      <w:r>
        <w:t>manage</w:t>
      </w:r>
      <w:r>
        <w:rPr>
          <w:spacing w:val="-1"/>
        </w:rPr>
        <w:t xml:space="preserve"> </w:t>
      </w:r>
      <w:r>
        <w:t>its</w:t>
      </w:r>
      <w:r>
        <w:rPr>
          <w:spacing w:val="-3"/>
        </w:rPr>
        <w:t xml:space="preserve"> </w:t>
      </w:r>
      <w:r>
        <w:t>endowment</w:t>
      </w:r>
      <w:r>
        <w:rPr>
          <w:spacing w:val="-1"/>
        </w:rPr>
        <w:t xml:space="preserve"> </w:t>
      </w:r>
      <w:r>
        <w:t xml:space="preserve">funds shall submit the annual distribution rate and disbursement/spending policy as adopted by its governing board or similar </w:t>
      </w:r>
      <w:proofErr w:type="gramStart"/>
      <w:r>
        <w:t>authority, and</w:t>
      </w:r>
      <w:proofErr w:type="gramEnd"/>
      <w:r>
        <w:t xml:space="preserve"> shall subsequently provide in annual fiscal reporting the actual dollar amount and percentage of market value allocated for expenditure to the faculty holder, as well as the amount expended.</w:t>
      </w:r>
      <w:r>
        <w:rPr>
          <w:spacing w:val="40"/>
        </w:rPr>
        <w:t xml:space="preserve"> </w:t>
      </w:r>
      <w:r>
        <w:t>The Board of Regents reserves the right to request additional information and justification of disbursement rates when they fall below 4%.</w:t>
      </w:r>
    </w:p>
    <w:p w14:paraId="5BFC6902" w14:textId="77777777" w:rsidR="009466A2" w:rsidRDefault="00BB7853">
      <w:pPr>
        <w:pStyle w:val="BodyText"/>
        <w:spacing w:before="267"/>
        <w:ind w:right="184"/>
      </w:pPr>
      <w:r>
        <w:t xml:space="preserve">The purpose of Board of </w:t>
      </w:r>
      <w:proofErr w:type="gramStart"/>
      <w:r>
        <w:t>Regents-matched</w:t>
      </w:r>
      <w:proofErr w:type="gramEnd"/>
      <w:r>
        <w:t xml:space="preserve"> faculty endowments is to provide a steady, permanent source</w:t>
      </w:r>
      <w:r>
        <w:rPr>
          <w:spacing w:val="-5"/>
        </w:rPr>
        <w:t xml:space="preserve"> </w:t>
      </w:r>
      <w:r>
        <w:t>of</w:t>
      </w:r>
      <w:r>
        <w:rPr>
          <w:spacing w:val="-5"/>
        </w:rPr>
        <w:t xml:space="preserve"> </w:t>
      </w:r>
      <w:r>
        <w:t>supplementary</w:t>
      </w:r>
      <w:r>
        <w:rPr>
          <w:spacing w:val="-5"/>
        </w:rPr>
        <w:t xml:space="preserve"> </w:t>
      </w:r>
      <w:r>
        <w:t>funding</w:t>
      </w:r>
      <w:r>
        <w:rPr>
          <w:spacing w:val="-4"/>
        </w:rPr>
        <w:t xml:space="preserve"> </w:t>
      </w:r>
      <w:r>
        <w:t>to</w:t>
      </w:r>
      <w:r>
        <w:rPr>
          <w:spacing w:val="-2"/>
        </w:rPr>
        <w:t xml:space="preserve"> </w:t>
      </w:r>
      <w:r>
        <w:t>support</w:t>
      </w:r>
      <w:r>
        <w:rPr>
          <w:spacing w:val="-6"/>
        </w:rPr>
        <w:t xml:space="preserve"> </w:t>
      </w:r>
      <w:r>
        <w:t>the</w:t>
      </w:r>
      <w:r>
        <w:rPr>
          <w:spacing w:val="-3"/>
        </w:rPr>
        <w:t xml:space="preserve"> </w:t>
      </w:r>
      <w:r>
        <w:t>faculty</w:t>
      </w:r>
      <w:r>
        <w:rPr>
          <w:spacing w:val="-2"/>
        </w:rPr>
        <w:t xml:space="preserve"> </w:t>
      </w:r>
      <w:r>
        <w:t>holder’s</w:t>
      </w:r>
      <w:r>
        <w:rPr>
          <w:spacing w:val="-3"/>
        </w:rPr>
        <w:t xml:space="preserve"> </w:t>
      </w:r>
      <w:r>
        <w:t>professional</w:t>
      </w:r>
      <w:r>
        <w:rPr>
          <w:spacing w:val="-3"/>
        </w:rPr>
        <w:t xml:space="preserve"> </w:t>
      </w:r>
      <w:r>
        <w:t>academic</w:t>
      </w:r>
      <w:r>
        <w:rPr>
          <w:spacing w:val="-1"/>
        </w:rPr>
        <w:t xml:space="preserve"> </w:t>
      </w:r>
      <w:r>
        <w:t>and/or</w:t>
      </w:r>
      <w:r>
        <w:rPr>
          <w:spacing w:val="-3"/>
        </w:rPr>
        <w:t xml:space="preserve"> </w:t>
      </w:r>
      <w:r>
        <w:t>scholarly work. Accordingly, campuses must ensure that faculty holders expend available funds regularly and retain minimal amounts in expendable accounts; a spendable balance not to exceed 25% of the total market value of the endowment account may be retained for expenditure in a future year except in special circumstances (e.g., accrual of sufficient funds for a major equipment purchase or, as in recent years,</w:t>
      </w:r>
      <w:r>
        <w:rPr>
          <w:spacing w:val="-4"/>
        </w:rPr>
        <w:t xml:space="preserve"> </w:t>
      </w:r>
      <w:r>
        <w:t>excessive</w:t>
      </w:r>
      <w:r>
        <w:rPr>
          <w:spacing w:val="-2"/>
        </w:rPr>
        <w:t xml:space="preserve"> </w:t>
      </w:r>
      <w:r>
        <w:t>accrual</w:t>
      </w:r>
      <w:r>
        <w:rPr>
          <w:spacing w:val="-4"/>
        </w:rPr>
        <w:t xml:space="preserve"> </w:t>
      </w:r>
      <w:r>
        <w:t>of</w:t>
      </w:r>
      <w:r>
        <w:rPr>
          <w:spacing w:val="-4"/>
        </w:rPr>
        <w:t xml:space="preserve"> </w:t>
      </w:r>
      <w:r>
        <w:t>expendable</w:t>
      </w:r>
      <w:r>
        <w:rPr>
          <w:spacing w:val="-4"/>
        </w:rPr>
        <w:t xml:space="preserve"> </w:t>
      </w:r>
      <w:r>
        <w:t>earnings)</w:t>
      </w:r>
      <w:r>
        <w:rPr>
          <w:spacing w:val="-2"/>
        </w:rPr>
        <w:t xml:space="preserve"> </w:t>
      </w:r>
      <w:r>
        <w:t>as</w:t>
      </w:r>
      <w:r>
        <w:rPr>
          <w:spacing w:val="-2"/>
        </w:rPr>
        <w:t xml:space="preserve"> </w:t>
      </w:r>
      <w:r>
        <w:t>approved</w:t>
      </w:r>
      <w:r>
        <w:rPr>
          <w:spacing w:val="-2"/>
        </w:rPr>
        <w:t xml:space="preserve"> </w:t>
      </w:r>
      <w:r>
        <w:t>by</w:t>
      </w:r>
      <w:r>
        <w:rPr>
          <w:spacing w:val="-2"/>
        </w:rPr>
        <w:t xml:space="preserve"> </w:t>
      </w:r>
      <w:r>
        <w:t>the</w:t>
      </w:r>
      <w:r>
        <w:rPr>
          <w:spacing w:val="-2"/>
        </w:rPr>
        <w:t xml:space="preserve"> </w:t>
      </w:r>
      <w:r>
        <w:t>Board</w:t>
      </w:r>
      <w:r>
        <w:rPr>
          <w:spacing w:val="-6"/>
        </w:rPr>
        <w:t xml:space="preserve"> </w:t>
      </w:r>
      <w:r>
        <w:t>of</w:t>
      </w:r>
      <w:r>
        <w:rPr>
          <w:spacing w:val="-2"/>
        </w:rPr>
        <w:t xml:space="preserve"> </w:t>
      </w:r>
      <w:r>
        <w:t>Regents.</w:t>
      </w:r>
      <w:r>
        <w:rPr>
          <w:spacing w:val="-2"/>
        </w:rPr>
        <w:t xml:space="preserve"> </w:t>
      </w:r>
      <w:r>
        <w:t>This</w:t>
      </w:r>
      <w:r>
        <w:rPr>
          <w:spacing w:val="-2"/>
        </w:rPr>
        <w:t xml:space="preserve"> </w:t>
      </w:r>
      <w:r>
        <w:t>shall</w:t>
      </w:r>
      <w:r>
        <w:rPr>
          <w:spacing w:val="-5"/>
        </w:rPr>
        <w:t xml:space="preserve"> </w:t>
      </w:r>
      <w:r>
        <w:t xml:space="preserve">include all dollars allocated for expenditure, including any funds unspent at the end of </w:t>
      </w:r>
      <w:proofErr w:type="gramStart"/>
      <w:r>
        <w:t>a previous</w:t>
      </w:r>
      <w:proofErr w:type="gramEnd"/>
      <w:r>
        <w:t xml:space="preserve"> fiscal year.</w:t>
      </w:r>
    </w:p>
    <w:p w14:paraId="5BFC6903" w14:textId="77777777" w:rsidR="009466A2" w:rsidRDefault="009466A2">
      <w:pPr>
        <w:pStyle w:val="BodyText"/>
        <w:ind w:left="0"/>
      </w:pPr>
    </w:p>
    <w:p w14:paraId="5BFC6904" w14:textId="77777777" w:rsidR="009466A2" w:rsidRDefault="00BB7853">
      <w:pPr>
        <w:pStyle w:val="BodyText"/>
        <w:spacing w:before="1"/>
        <w:ind w:right="184"/>
      </w:pPr>
      <w:r>
        <w:t>When an endowment is vacant, spending is not permitted beyond appropriate fees charged by the managing entity, though expendable amounts shall continue to be calculated and retained for expenditure</w:t>
      </w:r>
      <w:r>
        <w:rPr>
          <w:spacing w:val="-2"/>
        </w:rPr>
        <w:t xml:space="preserve"> </w:t>
      </w:r>
      <w:r>
        <w:t>by</w:t>
      </w:r>
      <w:r>
        <w:rPr>
          <w:spacing w:val="-2"/>
        </w:rPr>
        <w:t xml:space="preserve"> </w:t>
      </w:r>
      <w:r>
        <w:t>the</w:t>
      </w:r>
      <w:r>
        <w:rPr>
          <w:spacing w:val="-4"/>
        </w:rPr>
        <w:t xml:space="preserve"> </w:t>
      </w:r>
      <w:r>
        <w:t>holder,</w:t>
      </w:r>
      <w:r>
        <w:rPr>
          <w:spacing w:val="-4"/>
        </w:rPr>
        <w:t xml:space="preserve"> </w:t>
      </w:r>
      <w:r>
        <w:t>when</w:t>
      </w:r>
      <w:r>
        <w:rPr>
          <w:spacing w:val="-2"/>
        </w:rPr>
        <w:t xml:space="preserve"> </w:t>
      </w:r>
      <w:r>
        <w:t>appointed. Earnings</w:t>
      </w:r>
      <w:r>
        <w:rPr>
          <w:spacing w:val="-4"/>
        </w:rPr>
        <w:t xml:space="preserve"> </w:t>
      </w:r>
      <w:r>
        <w:t>may</w:t>
      </w:r>
      <w:r>
        <w:rPr>
          <w:spacing w:val="-4"/>
        </w:rPr>
        <w:t xml:space="preserve"> </w:t>
      </w:r>
      <w:r>
        <w:t>be</w:t>
      </w:r>
      <w:r>
        <w:rPr>
          <w:spacing w:val="-2"/>
        </w:rPr>
        <w:t xml:space="preserve"> </w:t>
      </w:r>
      <w:r>
        <w:t>used</w:t>
      </w:r>
      <w:r>
        <w:rPr>
          <w:spacing w:val="-2"/>
        </w:rPr>
        <w:t xml:space="preserve"> </w:t>
      </w:r>
      <w:r>
        <w:t>by</w:t>
      </w:r>
      <w:r>
        <w:rPr>
          <w:spacing w:val="-4"/>
        </w:rPr>
        <w:t xml:space="preserve"> </w:t>
      </w:r>
      <w:r>
        <w:t>the</w:t>
      </w:r>
      <w:r>
        <w:rPr>
          <w:spacing w:val="-1"/>
        </w:rPr>
        <w:t xml:space="preserve"> </w:t>
      </w:r>
      <w:r>
        <w:t>holder</w:t>
      </w:r>
      <w:r>
        <w:rPr>
          <w:spacing w:val="-4"/>
        </w:rPr>
        <w:t xml:space="preserve"> </w:t>
      </w:r>
      <w:r>
        <w:t>for</w:t>
      </w:r>
      <w:r>
        <w:rPr>
          <w:spacing w:val="-2"/>
        </w:rPr>
        <w:t xml:space="preserve"> </w:t>
      </w:r>
      <w:r>
        <w:t>any</w:t>
      </w:r>
      <w:r>
        <w:rPr>
          <w:spacing w:val="-4"/>
        </w:rPr>
        <w:t xml:space="preserve"> </w:t>
      </w:r>
      <w:r>
        <w:t>professional purpose related to the chair as defined.</w:t>
      </w:r>
    </w:p>
    <w:p w14:paraId="5BFC6905" w14:textId="77777777" w:rsidR="009466A2" w:rsidRDefault="009466A2">
      <w:pPr>
        <w:pStyle w:val="BodyText"/>
        <w:spacing w:before="1"/>
        <w:ind w:left="0"/>
      </w:pPr>
    </w:p>
    <w:p w14:paraId="5BFC6906" w14:textId="77777777" w:rsidR="009466A2" w:rsidRDefault="00BB7853">
      <w:pPr>
        <w:pStyle w:val="BodyText"/>
        <w:ind w:right="203"/>
      </w:pPr>
      <w:r>
        <w:t>The</w:t>
      </w:r>
      <w:r>
        <w:rPr>
          <w:spacing w:val="-2"/>
        </w:rPr>
        <w:t xml:space="preserve"> </w:t>
      </w:r>
      <w:r>
        <w:t>Board</w:t>
      </w:r>
      <w:r>
        <w:rPr>
          <w:spacing w:val="-6"/>
        </w:rPr>
        <w:t xml:space="preserve"> </w:t>
      </w:r>
      <w:r>
        <w:t>of</w:t>
      </w:r>
      <w:r>
        <w:rPr>
          <w:spacing w:val="-2"/>
        </w:rPr>
        <w:t xml:space="preserve"> </w:t>
      </w:r>
      <w:r>
        <w:t>Regents</w:t>
      </w:r>
      <w:r>
        <w:rPr>
          <w:spacing w:val="-1"/>
        </w:rPr>
        <w:t xml:space="preserve"> </w:t>
      </w:r>
      <w:r>
        <w:t>strongly</w:t>
      </w:r>
      <w:r>
        <w:rPr>
          <w:spacing w:val="-2"/>
        </w:rPr>
        <w:t xml:space="preserve"> </w:t>
      </w:r>
      <w:r>
        <w:t>encourages</w:t>
      </w:r>
      <w:r>
        <w:rPr>
          <w:spacing w:val="-4"/>
        </w:rPr>
        <w:t xml:space="preserve"> </w:t>
      </w:r>
      <w:r>
        <w:t>that</w:t>
      </w:r>
      <w:r>
        <w:rPr>
          <w:spacing w:val="-2"/>
        </w:rPr>
        <w:t xml:space="preserve"> </w:t>
      </w:r>
      <w:r>
        <w:t>each</w:t>
      </w:r>
      <w:r>
        <w:rPr>
          <w:spacing w:val="-3"/>
        </w:rPr>
        <w:t xml:space="preserve"> </w:t>
      </w:r>
      <w:r>
        <w:t>participating</w:t>
      </w:r>
      <w:r>
        <w:rPr>
          <w:spacing w:val="-3"/>
        </w:rPr>
        <w:t xml:space="preserve"> </w:t>
      </w:r>
      <w:r>
        <w:t>institution</w:t>
      </w:r>
      <w:r>
        <w:rPr>
          <w:spacing w:val="-3"/>
        </w:rPr>
        <w:t xml:space="preserve"> </w:t>
      </w:r>
      <w:r>
        <w:t>(a)</w:t>
      </w:r>
      <w:r>
        <w:rPr>
          <w:spacing w:val="-2"/>
        </w:rPr>
        <w:t xml:space="preserve"> </w:t>
      </w:r>
      <w:proofErr w:type="gramStart"/>
      <w:r>
        <w:t>allow</w:t>
      </w:r>
      <w:proofErr w:type="gramEnd"/>
      <w:r>
        <w:rPr>
          <w:spacing w:val="-4"/>
        </w:rPr>
        <w:t xml:space="preserve"> </w:t>
      </w:r>
      <w:r>
        <w:t>the</w:t>
      </w:r>
      <w:r>
        <w:rPr>
          <w:spacing w:val="-2"/>
        </w:rPr>
        <w:t xml:space="preserve"> </w:t>
      </w:r>
      <w:r>
        <w:t>use</w:t>
      </w:r>
      <w:r>
        <w:rPr>
          <w:spacing w:val="-4"/>
        </w:rPr>
        <w:t xml:space="preserve"> </w:t>
      </w:r>
      <w:r>
        <w:t>of</w:t>
      </w:r>
      <w:r>
        <w:rPr>
          <w:spacing w:val="-5"/>
        </w:rPr>
        <w:t xml:space="preserve"> </w:t>
      </w:r>
      <w:r>
        <w:t>at</w:t>
      </w:r>
      <w:r>
        <w:rPr>
          <w:spacing w:val="-2"/>
        </w:rPr>
        <w:t xml:space="preserve"> </w:t>
      </w:r>
      <w:r>
        <w:t>least one-half of the trust income of the endowed chair at the discretion of the holder to support expenses directly associated with the holder’s scholarly work, and (b) use no more than one-half of the trust</w:t>
      </w:r>
    </w:p>
    <w:p w14:paraId="5BFC6907" w14:textId="77777777" w:rsidR="009466A2" w:rsidRDefault="009466A2">
      <w:pPr>
        <w:sectPr w:rsidR="009466A2">
          <w:pgSz w:w="12240" w:h="15840"/>
          <w:pgMar w:top="1820" w:right="1320" w:bottom="1200" w:left="1340" w:header="0" w:footer="1004" w:gutter="0"/>
          <w:cols w:space="720"/>
        </w:sectPr>
      </w:pPr>
    </w:p>
    <w:p w14:paraId="5BFC6908" w14:textId="77777777" w:rsidR="009466A2" w:rsidRDefault="00BB7853">
      <w:pPr>
        <w:pStyle w:val="BodyText"/>
        <w:spacing w:before="39"/>
        <w:ind w:right="184"/>
      </w:pPr>
      <w:r>
        <w:lastRenderedPageBreak/>
        <w:t xml:space="preserve">income as a supplement to the salary of the holder. Consistent with Constitutional restrictions on the Board of Regents Support Fund and Board of Regents policies, holder expenditures must be supplementary and </w:t>
      </w:r>
      <w:proofErr w:type="gramStart"/>
      <w:r>
        <w:t>enhancing</w:t>
      </w:r>
      <w:proofErr w:type="gramEnd"/>
      <w:r>
        <w:t xml:space="preserve"> in alignment with the defined purposes and goals of the chair, and may not</w:t>
      </w:r>
      <w:r>
        <w:rPr>
          <w:spacing w:val="-1"/>
        </w:rPr>
        <w:t xml:space="preserve"> </w:t>
      </w:r>
      <w:r>
        <w:t>displace,</w:t>
      </w:r>
      <w:r>
        <w:rPr>
          <w:spacing w:val="-2"/>
        </w:rPr>
        <w:t xml:space="preserve"> </w:t>
      </w:r>
      <w:r>
        <w:t>replace,</w:t>
      </w:r>
      <w:r>
        <w:rPr>
          <w:spacing w:val="-4"/>
        </w:rPr>
        <w:t xml:space="preserve"> </w:t>
      </w:r>
      <w:r>
        <w:t>or</w:t>
      </w:r>
      <w:r>
        <w:rPr>
          <w:spacing w:val="-2"/>
        </w:rPr>
        <w:t xml:space="preserve"> </w:t>
      </w:r>
      <w:r>
        <w:t>supplant</w:t>
      </w:r>
      <w:r>
        <w:rPr>
          <w:spacing w:val="-2"/>
        </w:rPr>
        <w:t xml:space="preserve"> </w:t>
      </w:r>
      <w:r>
        <w:t>other</w:t>
      </w:r>
      <w:r>
        <w:rPr>
          <w:spacing w:val="-3"/>
        </w:rPr>
        <w:t xml:space="preserve"> </w:t>
      </w:r>
      <w:r>
        <w:t>state</w:t>
      </w:r>
      <w:r>
        <w:rPr>
          <w:spacing w:val="-2"/>
        </w:rPr>
        <w:t xml:space="preserve"> </w:t>
      </w:r>
      <w:r>
        <w:t>allocated</w:t>
      </w:r>
      <w:r>
        <w:rPr>
          <w:spacing w:val="-2"/>
        </w:rPr>
        <w:t xml:space="preserve"> </w:t>
      </w:r>
      <w:r>
        <w:t>funds.</w:t>
      </w:r>
      <w:r>
        <w:rPr>
          <w:spacing w:val="-2"/>
        </w:rPr>
        <w:t xml:space="preserve"> </w:t>
      </w:r>
      <w:r>
        <w:t>Endowment</w:t>
      </w:r>
      <w:r>
        <w:rPr>
          <w:spacing w:val="-5"/>
        </w:rPr>
        <w:t xml:space="preserve"> </w:t>
      </w:r>
      <w:r>
        <w:t>earnings</w:t>
      </w:r>
      <w:r>
        <w:rPr>
          <w:spacing w:val="-2"/>
        </w:rPr>
        <w:t xml:space="preserve"> </w:t>
      </w:r>
      <w:r>
        <w:t>may</w:t>
      </w:r>
      <w:r>
        <w:rPr>
          <w:spacing w:val="-4"/>
        </w:rPr>
        <w:t xml:space="preserve"> </w:t>
      </w:r>
      <w:r>
        <w:t>not</w:t>
      </w:r>
      <w:r>
        <w:rPr>
          <w:spacing w:val="-2"/>
        </w:rPr>
        <w:t xml:space="preserve"> </w:t>
      </w:r>
      <w:r>
        <w:t>be</w:t>
      </w:r>
      <w:r>
        <w:rPr>
          <w:spacing w:val="-2"/>
        </w:rPr>
        <w:t xml:space="preserve"> </w:t>
      </w:r>
      <w:r>
        <w:t>used</w:t>
      </w:r>
      <w:r>
        <w:rPr>
          <w:spacing w:val="-2"/>
        </w:rPr>
        <w:t xml:space="preserve"> </w:t>
      </w:r>
      <w:r>
        <w:t>for general operational costs of the institution, college, or department, including repair and maintenance, construction and renovation, or standard office/laboratory equipment. If a cost or category of costs is typically</w:t>
      </w:r>
      <w:r>
        <w:rPr>
          <w:spacing w:val="-1"/>
        </w:rPr>
        <w:t xml:space="preserve"> </w:t>
      </w:r>
      <w:r>
        <w:t>borne</w:t>
      </w:r>
      <w:r>
        <w:rPr>
          <w:spacing w:val="-1"/>
        </w:rPr>
        <w:t xml:space="preserve"> </w:t>
      </w:r>
      <w:r>
        <w:t>by</w:t>
      </w:r>
      <w:r>
        <w:rPr>
          <w:spacing w:val="-1"/>
        </w:rPr>
        <w:t xml:space="preserve"> </w:t>
      </w:r>
      <w:r>
        <w:t>the campus, college, or department for</w:t>
      </w:r>
      <w:r>
        <w:rPr>
          <w:spacing w:val="-2"/>
        </w:rPr>
        <w:t xml:space="preserve"> </w:t>
      </w:r>
      <w:r>
        <w:t>non-endowed</w:t>
      </w:r>
      <w:r>
        <w:rPr>
          <w:spacing w:val="-3"/>
        </w:rPr>
        <w:t xml:space="preserve"> </w:t>
      </w:r>
      <w:r>
        <w:t>faculty,</w:t>
      </w:r>
      <w:r>
        <w:rPr>
          <w:spacing w:val="-1"/>
        </w:rPr>
        <w:t xml:space="preserve"> </w:t>
      </w:r>
      <w:r>
        <w:t>it should</w:t>
      </w:r>
      <w:r>
        <w:rPr>
          <w:spacing w:val="-1"/>
        </w:rPr>
        <w:t xml:space="preserve"> </w:t>
      </w:r>
      <w:r>
        <w:t>also be</w:t>
      </w:r>
      <w:r>
        <w:rPr>
          <w:spacing w:val="-1"/>
        </w:rPr>
        <w:t xml:space="preserve"> </w:t>
      </w:r>
      <w:r>
        <w:t>borne for a holder.</w:t>
      </w:r>
    </w:p>
    <w:p w14:paraId="5BFC6909" w14:textId="77777777" w:rsidR="009466A2" w:rsidRDefault="009466A2">
      <w:pPr>
        <w:pStyle w:val="BodyText"/>
        <w:ind w:left="0"/>
      </w:pPr>
    </w:p>
    <w:p w14:paraId="5BFC690A" w14:textId="77777777" w:rsidR="009466A2" w:rsidRDefault="00BB7853">
      <w:pPr>
        <w:pStyle w:val="Heading1"/>
        <w:rPr>
          <w:u w:val="none"/>
        </w:rPr>
      </w:pPr>
      <w:r>
        <w:t>Spending</w:t>
      </w:r>
      <w:r>
        <w:rPr>
          <w:spacing w:val="-7"/>
        </w:rPr>
        <w:t xml:space="preserve"> </w:t>
      </w:r>
      <w:r>
        <w:rPr>
          <w:spacing w:val="-2"/>
        </w:rPr>
        <w:t>Calculation</w:t>
      </w:r>
    </w:p>
    <w:p w14:paraId="5BFC690B" w14:textId="77777777" w:rsidR="009466A2" w:rsidRDefault="00BB7853">
      <w:pPr>
        <w:pStyle w:val="BodyText"/>
        <w:spacing w:before="41"/>
        <w:ind w:right="145"/>
      </w:pPr>
      <w:proofErr w:type="gramStart"/>
      <w:r>
        <w:t>A spending</w:t>
      </w:r>
      <w:proofErr w:type="gramEnd"/>
      <w:r>
        <w:t xml:space="preserve"> rate is determined by the Foundation’s Board of Directors on an annual basis, with consideration given to UPMIFA, market conditions, spending levels of peer foundations and the level of real return</w:t>
      </w:r>
      <w:r>
        <w:rPr>
          <w:spacing w:val="-3"/>
        </w:rPr>
        <w:t xml:space="preserve"> </w:t>
      </w:r>
      <w:r>
        <w:t>after</w:t>
      </w:r>
      <w:r>
        <w:rPr>
          <w:spacing w:val="-2"/>
        </w:rPr>
        <w:t xml:space="preserve"> </w:t>
      </w:r>
      <w:r>
        <w:t>spending</w:t>
      </w:r>
      <w:r>
        <w:rPr>
          <w:spacing w:val="-3"/>
        </w:rPr>
        <w:t xml:space="preserve"> </w:t>
      </w:r>
      <w:r>
        <w:t>measured over</w:t>
      </w:r>
      <w:r>
        <w:rPr>
          <w:spacing w:val="-2"/>
        </w:rPr>
        <w:t xml:space="preserve"> </w:t>
      </w:r>
      <w:r>
        <w:t>a rolling</w:t>
      </w:r>
      <w:r>
        <w:rPr>
          <w:spacing w:val="-1"/>
        </w:rPr>
        <w:t xml:space="preserve"> </w:t>
      </w:r>
      <w:r>
        <w:t>five-year</w:t>
      </w:r>
      <w:r>
        <w:rPr>
          <w:spacing w:val="-3"/>
        </w:rPr>
        <w:t xml:space="preserve"> </w:t>
      </w:r>
      <w:proofErr w:type="gramStart"/>
      <w:r>
        <w:t>time period</w:t>
      </w:r>
      <w:proofErr w:type="gramEnd"/>
      <w:r>
        <w:t>.</w:t>
      </w:r>
      <w:r>
        <w:rPr>
          <w:spacing w:val="40"/>
        </w:rPr>
        <w:t xml:space="preserve"> </w:t>
      </w:r>
      <w:r>
        <w:t>The spending</w:t>
      </w:r>
      <w:r>
        <w:rPr>
          <w:spacing w:val="-1"/>
        </w:rPr>
        <w:t xml:space="preserve"> </w:t>
      </w:r>
      <w:r>
        <w:t>rate approved</w:t>
      </w:r>
      <w:r>
        <w:rPr>
          <w:spacing w:val="-3"/>
        </w:rPr>
        <w:t xml:space="preserve"> </w:t>
      </w:r>
      <w:r>
        <w:t>by the Board of Directors is applied to the five-year average market value (as of June 30th) of the investment</w:t>
      </w:r>
      <w:r>
        <w:rPr>
          <w:spacing w:val="-2"/>
        </w:rPr>
        <w:t xml:space="preserve"> </w:t>
      </w:r>
      <w:r>
        <w:t>pool</w:t>
      </w:r>
      <w:r>
        <w:rPr>
          <w:spacing w:val="-4"/>
        </w:rPr>
        <w:t xml:space="preserve"> </w:t>
      </w:r>
      <w:r>
        <w:t>of</w:t>
      </w:r>
      <w:r>
        <w:rPr>
          <w:spacing w:val="-4"/>
        </w:rPr>
        <w:t xml:space="preserve"> </w:t>
      </w:r>
      <w:r>
        <w:t>endowed</w:t>
      </w:r>
      <w:r>
        <w:rPr>
          <w:spacing w:val="-2"/>
        </w:rPr>
        <w:t xml:space="preserve"> </w:t>
      </w:r>
      <w:r>
        <w:t>assets.</w:t>
      </w:r>
      <w:r>
        <w:rPr>
          <w:spacing w:val="40"/>
        </w:rPr>
        <w:t xml:space="preserve"> </w:t>
      </w:r>
      <w:r>
        <w:t>The</w:t>
      </w:r>
      <w:r>
        <w:rPr>
          <w:spacing w:val="-4"/>
        </w:rPr>
        <w:t xml:space="preserve"> </w:t>
      </w:r>
      <w:r>
        <w:t>objective</w:t>
      </w:r>
      <w:r>
        <w:rPr>
          <w:spacing w:val="-4"/>
        </w:rPr>
        <w:t xml:space="preserve"> </w:t>
      </w:r>
      <w:r>
        <w:t>is</w:t>
      </w:r>
      <w:r>
        <w:rPr>
          <w:spacing w:val="-4"/>
        </w:rPr>
        <w:t xml:space="preserve"> </w:t>
      </w:r>
      <w:r>
        <w:t>to</w:t>
      </w:r>
      <w:r>
        <w:rPr>
          <w:spacing w:val="-1"/>
        </w:rPr>
        <w:t xml:space="preserve"> </w:t>
      </w:r>
      <w:r>
        <w:t>provide</w:t>
      </w:r>
      <w:r>
        <w:rPr>
          <w:spacing w:val="-2"/>
        </w:rPr>
        <w:t xml:space="preserve"> </w:t>
      </w:r>
      <w:r>
        <w:t>relatively</w:t>
      </w:r>
      <w:r>
        <w:rPr>
          <w:spacing w:val="-2"/>
        </w:rPr>
        <w:t xml:space="preserve"> </w:t>
      </w:r>
      <w:r>
        <w:t>stable</w:t>
      </w:r>
      <w:r>
        <w:rPr>
          <w:spacing w:val="-4"/>
        </w:rPr>
        <w:t xml:space="preserve"> </w:t>
      </w:r>
      <w:r>
        <w:t>spending</w:t>
      </w:r>
      <w:r>
        <w:rPr>
          <w:spacing w:val="-3"/>
        </w:rPr>
        <w:t xml:space="preserve"> </w:t>
      </w:r>
      <w:r>
        <w:t>allocations.</w:t>
      </w:r>
      <w:r>
        <w:rPr>
          <w:spacing w:val="40"/>
        </w:rPr>
        <w:t xml:space="preserve"> </w:t>
      </w:r>
      <w:r>
        <w:t>In accordance with the Board’s policies, no portion of corpus (original amount of donation) of the</w:t>
      </w:r>
      <w:r>
        <w:rPr>
          <w:spacing w:val="40"/>
        </w:rPr>
        <w:t xml:space="preserve"> </w:t>
      </w:r>
      <w:r>
        <w:t>endowed assets shall be allocated for program or other spending.</w:t>
      </w:r>
    </w:p>
    <w:p w14:paraId="5BFC690C" w14:textId="77777777" w:rsidR="009466A2" w:rsidRDefault="009466A2">
      <w:pPr>
        <w:pStyle w:val="BodyText"/>
        <w:spacing w:before="41"/>
        <w:ind w:left="0"/>
      </w:pPr>
    </w:p>
    <w:p w14:paraId="5BFC690D" w14:textId="77777777" w:rsidR="009466A2" w:rsidRDefault="00BB7853">
      <w:pPr>
        <w:pStyle w:val="Heading1"/>
        <w:rPr>
          <w:u w:val="none"/>
        </w:rPr>
      </w:pPr>
      <w:r>
        <w:t>Underwater</w:t>
      </w:r>
      <w:r>
        <w:rPr>
          <w:spacing w:val="-10"/>
        </w:rPr>
        <w:t xml:space="preserve"> </w:t>
      </w:r>
      <w:r>
        <w:rPr>
          <w:spacing w:val="-2"/>
        </w:rPr>
        <w:t>Endowments</w:t>
      </w:r>
    </w:p>
    <w:p w14:paraId="5BFC690E" w14:textId="77777777" w:rsidR="009466A2" w:rsidRDefault="00BB7853">
      <w:pPr>
        <w:pStyle w:val="BodyText"/>
        <w:spacing w:before="39"/>
      </w:pPr>
      <w:r>
        <w:t>The Foundation adheres to the guidelines and requirements of UPMIFA, as noted above, in decisions concerning the investment, spending, and management of institutional and endowment funds.</w:t>
      </w:r>
      <w:r>
        <w:rPr>
          <w:spacing w:val="40"/>
        </w:rPr>
        <w:t xml:space="preserve"> </w:t>
      </w:r>
      <w:r>
        <w:t>If an endowment is “underwater”, spending distributions will be suspended for those specific endowments until such time that the total fair market value exceeds the original corpus.</w:t>
      </w:r>
      <w:r>
        <w:rPr>
          <w:spacing w:val="40"/>
        </w:rPr>
        <w:t xml:space="preserve"> </w:t>
      </w:r>
      <w:r>
        <w:t>Fund management fees (as defined</w:t>
      </w:r>
      <w:r>
        <w:rPr>
          <w:spacing w:val="-2"/>
        </w:rPr>
        <w:t xml:space="preserve"> </w:t>
      </w:r>
      <w:r>
        <w:t>and</w:t>
      </w:r>
      <w:r>
        <w:rPr>
          <w:spacing w:val="-4"/>
        </w:rPr>
        <w:t xml:space="preserve"> </w:t>
      </w:r>
      <w:r>
        <w:t>calculated</w:t>
      </w:r>
      <w:r>
        <w:rPr>
          <w:spacing w:val="-1"/>
        </w:rPr>
        <w:t xml:space="preserve"> </w:t>
      </w:r>
      <w:r>
        <w:t>below)</w:t>
      </w:r>
      <w:r>
        <w:rPr>
          <w:spacing w:val="-5"/>
        </w:rPr>
        <w:t xml:space="preserve"> </w:t>
      </w:r>
      <w:r>
        <w:t>will</w:t>
      </w:r>
      <w:r>
        <w:rPr>
          <w:spacing w:val="-2"/>
        </w:rPr>
        <w:t xml:space="preserve"> </w:t>
      </w:r>
      <w:r>
        <w:t>continue</w:t>
      </w:r>
      <w:r>
        <w:rPr>
          <w:spacing w:val="-4"/>
        </w:rPr>
        <w:t xml:space="preserve"> </w:t>
      </w:r>
      <w:r>
        <w:t>to</w:t>
      </w:r>
      <w:r>
        <w:rPr>
          <w:spacing w:val="-4"/>
        </w:rPr>
        <w:t xml:space="preserve"> </w:t>
      </w:r>
      <w:r>
        <w:t>be</w:t>
      </w:r>
      <w:r>
        <w:rPr>
          <w:spacing w:val="-2"/>
        </w:rPr>
        <w:t xml:space="preserve"> </w:t>
      </w:r>
      <w:r>
        <w:t>calculated</w:t>
      </w:r>
      <w:r>
        <w:rPr>
          <w:spacing w:val="-2"/>
        </w:rPr>
        <w:t xml:space="preserve"> </w:t>
      </w:r>
      <w:r>
        <w:t>and</w:t>
      </w:r>
      <w:r>
        <w:rPr>
          <w:spacing w:val="-3"/>
        </w:rPr>
        <w:t xml:space="preserve"> </w:t>
      </w:r>
      <w:r>
        <w:t>distributed</w:t>
      </w:r>
      <w:r>
        <w:rPr>
          <w:spacing w:val="-3"/>
        </w:rPr>
        <w:t xml:space="preserve"> </w:t>
      </w:r>
      <w:r>
        <w:t>from</w:t>
      </w:r>
      <w:r>
        <w:rPr>
          <w:spacing w:val="-1"/>
        </w:rPr>
        <w:t xml:space="preserve"> </w:t>
      </w:r>
      <w:r>
        <w:t>all</w:t>
      </w:r>
      <w:r>
        <w:rPr>
          <w:spacing w:val="-5"/>
        </w:rPr>
        <w:t xml:space="preserve"> </w:t>
      </w:r>
      <w:r>
        <w:t>endowment</w:t>
      </w:r>
      <w:r>
        <w:rPr>
          <w:spacing w:val="-2"/>
        </w:rPr>
        <w:t xml:space="preserve"> </w:t>
      </w:r>
      <w:r>
        <w:t>funds.</w:t>
      </w:r>
    </w:p>
    <w:p w14:paraId="5BFC690F" w14:textId="77777777" w:rsidR="009466A2" w:rsidRDefault="009466A2">
      <w:pPr>
        <w:pStyle w:val="BodyText"/>
        <w:spacing w:before="42"/>
        <w:ind w:left="0"/>
      </w:pPr>
    </w:p>
    <w:p w14:paraId="5BFC6910" w14:textId="77777777" w:rsidR="009466A2" w:rsidRDefault="00BB7853">
      <w:pPr>
        <w:pStyle w:val="Heading1"/>
        <w:rPr>
          <w:u w:val="none"/>
        </w:rPr>
      </w:pPr>
      <w:r>
        <w:t>Initial</w:t>
      </w:r>
      <w:r>
        <w:rPr>
          <w:spacing w:val="-7"/>
        </w:rPr>
        <w:t xml:space="preserve"> </w:t>
      </w:r>
      <w:r>
        <w:t>Spending</w:t>
      </w:r>
      <w:r>
        <w:rPr>
          <w:spacing w:val="-4"/>
        </w:rPr>
        <w:t xml:space="preserve"> </w:t>
      </w:r>
      <w:r>
        <w:t>from</w:t>
      </w:r>
      <w:r>
        <w:rPr>
          <w:spacing w:val="-6"/>
        </w:rPr>
        <w:t xml:space="preserve"> </w:t>
      </w:r>
      <w:r>
        <w:t>New</w:t>
      </w:r>
      <w:r>
        <w:rPr>
          <w:spacing w:val="-5"/>
        </w:rPr>
        <w:t xml:space="preserve"> </w:t>
      </w:r>
      <w:r>
        <w:rPr>
          <w:spacing w:val="-2"/>
        </w:rPr>
        <w:t>Endowments</w:t>
      </w:r>
    </w:p>
    <w:p w14:paraId="5BFC6911" w14:textId="77777777" w:rsidR="009466A2" w:rsidRDefault="00BB7853">
      <w:pPr>
        <w:pStyle w:val="BodyText"/>
        <w:spacing w:before="39"/>
        <w:ind w:right="168"/>
      </w:pPr>
      <w:r>
        <w:t>Endowments are intended to be held in perpetuity; therefore, spending is derived from accumulated positive investment performance over a long-term time horizon. Consequently, spending from new endowments will not occur immediately unless the donor specifies a certain amount as non-endowed and available for immediate appropriation. Spending will not commence on a newly established endowment</w:t>
      </w:r>
      <w:r>
        <w:rPr>
          <w:spacing w:val="-5"/>
        </w:rPr>
        <w:t xml:space="preserve"> </w:t>
      </w:r>
      <w:r>
        <w:t>for</w:t>
      </w:r>
      <w:r>
        <w:rPr>
          <w:spacing w:val="-5"/>
        </w:rPr>
        <w:t xml:space="preserve"> </w:t>
      </w:r>
      <w:r>
        <w:t>at</w:t>
      </w:r>
      <w:r>
        <w:rPr>
          <w:spacing w:val="-2"/>
        </w:rPr>
        <w:t xml:space="preserve"> </w:t>
      </w:r>
      <w:r>
        <w:t>least</w:t>
      </w:r>
      <w:r>
        <w:rPr>
          <w:spacing w:val="-4"/>
        </w:rPr>
        <w:t xml:space="preserve"> </w:t>
      </w:r>
      <w:r>
        <w:t>a</w:t>
      </w:r>
      <w:r>
        <w:rPr>
          <w:spacing w:val="-2"/>
        </w:rPr>
        <w:t xml:space="preserve"> </w:t>
      </w:r>
      <w:r>
        <w:t>12-month</w:t>
      </w:r>
      <w:r>
        <w:rPr>
          <w:spacing w:val="-2"/>
        </w:rPr>
        <w:t xml:space="preserve"> </w:t>
      </w:r>
      <w:r>
        <w:t>period</w:t>
      </w:r>
      <w:r>
        <w:rPr>
          <w:spacing w:val="-3"/>
        </w:rPr>
        <w:t xml:space="preserve"> </w:t>
      </w:r>
      <w:r>
        <w:t>to</w:t>
      </w:r>
      <w:r>
        <w:rPr>
          <w:spacing w:val="-1"/>
        </w:rPr>
        <w:t xml:space="preserve"> </w:t>
      </w:r>
      <w:r>
        <w:t>allow</w:t>
      </w:r>
      <w:r>
        <w:rPr>
          <w:spacing w:val="-4"/>
        </w:rPr>
        <w:t xml:space="preserve"> </w:t>
      </w:r>
      <w:r>
        <w:t>for</w:t>
      </w:r>
      <w:r>
        <w:rPr>
          <w:spacing w:val="-2"/>
        </w:rPr>
        <w:t xml:space="preserve"> </w:t>
      </w:r>
      <w:r>
        <w:t>earnings</w:t>
      </w:r>
      <w:r>
        <w:rPr>
          <w:spacing w:val="-2"/>
        </w:rPr>
        <w:t xml:space="preserve"> </w:t>
      </w:r>
      <w:r>
        <w:t>accumulation.</w:t>
      </w:r>
      <w:r>
        <w:rPr>
          <w:spacing w:val="-2"/>
        </w:rPr>
        <w:t xml:space="preserve"> </w:t>
      </w:r>
      <w:r>
        <w:t>Spending</w:t>
      </w:r>
      <w:r>
        <w:rPr>
          <w:spacing w:val="-3"/>
        </w:rPr>
        <w:t xml:space="preserve"> </w:t>
      </w:r>
      <w:r>
        <w:t>will</w:t>
      </w:r>
      <w:r>
        <w:rPr>
          <w:spacing w:val="-2"/>
        </w:rPr>
        <w:t xml:space="preserve"> </w:t>
      </w:r>
      <w:r>
        <w:t>commence during the first commencement of a fiscal year (e.g., July 1) after the 12-month accumulation period.</w:t>
      </w:r>
    </w:p>
    <w:p w14:paraId="5BFC6912" w14:textId="77777777" w:rsidR="009466A2" w:rsidRDefault="00BB7853">
      <w:pPr>
        <w:pStyle w:val="BodyText"/>
        <w:spacing w:before="4" w:line="237" w:lineRule="auto"/>
      </w:pPr>
      <w:r>
        <w:t>Annual</w:t>
      </w:r>
      <w:r>
        <w:rPr>
          <w:spacing w:val="-2"/>
        </w:rPr>
        <w:t xml:space="preserve"> </w:t>
      </w:r>
      <w:r>
        <w:t>spending</w:t>
      </w:r>
      <w:r>
        <w:rPr>
          <w:spacing w:val="-3"/>
        </w:rPr>
        <w:t xml:space="preserve"> </w:t>
      </w:r>
      <w:r>
        <w:t>allocations</w:t>
      </w:r>
      <w:r>
        <w:rPr>
          <w:spacing w:val="-2"/>
        </w:rPr>
        <w:t xml:space="preserve"> </w:t>
      </w:r>
      <w:r>
        <w:t>cannot</w:t>
      </w:r>
      <w:r>
        <w:rPr>
          <w:spacing w:val="-4"/>
        </w:rPr>
        <w:t xml:space="preserve"> </w:t>
      </w:r>
      <w:r>
        <w:t>exceed</w:t>
      </w:r>
      <w:r>
        <w:rPr>
          <w:spacing w:val="-5"/>
        </w:rPr>
        <w:t xml:space="preserve"> </w:t>
      </w:r>
      <w:r>
        <w:t>earnings;</w:t>
      </w:r>
      <w:r>
        <w:rPr>
          <w:spacing w:val="-4"/>
        </w:rPr>
        <w:t xml:space="preserve"> </w:t>
      </w:r>
      <w:r>
        <w:t>therefore,</w:t>
      </w:r>
      <w:r>
        <w:rPr>
          <w:spacing w:val="-2"/>
        </w:rPr>
        <w:t xml:space="preserve"> </w:t>
      </w:r>
      <w:r>
        <w:t>spending</w:t>
      </w:r>
      <w:r>
        <w:rPr>
          <w:spacing w:val="-3"/>
        </w:rPr>
        <w:t xml:space="preserve"> </w:t>
      </w:r>
      <w:r>
        <w:t>allocations</w:t>
      </w:r>
      <w:r>
        <w:rPr>
          <w:spacing w:val="-2"/>
        </w:rPr>
        <w:t xml:space="preserve"> </w:t>
      </w:r>
      <w:r>
        <w:t>can</w:t>
      </w:r>
      <w:r>
        <w:rPr>
          <w:spacing w:val="-3"/>
        </w:rPr>
        <w:t xml:space="preserve"> </w:t>
      </w:r>
      <w:r>
        <w:t>be</w:t>
      </w:r>
      <w:r>
        <w:rPr>
          <w:spacing w:val="-2"/>
        </w:rPr>
        <w:t xml:space="preserve"> </w:t>
      </w:r>
      <w:r>
        <w:t>lower</w:t>
      </w:r>
      <w:r>
        <w:rPr>
          <w:spacing w:val="-5"/>
        </w:rPr>
        <w:t xml:space="preserve"> </w:t>
      </w:r>
      <w:r>
        <w:t>for newer endowments.</w:t>
      </w:r>
    </w:p>
    <w:p w14:paraId="5BFC6913" w14:textId="77777777" w:rsidR="009466A2" w:rsidRDefault="009466A2">
      <w:pPr>
        <w:pStyle w:val="BodyText"/>
        <w:spacing w:before="42"/>
        <w:ind w:left="0"/>
      </w:pPr>
    </w:p>
    <w:p w14:paraId="5BFC6914" w14:textId="77777777" w:rsidR="009466A2" w:rsidRDefault="00BB7853">
      <w:pPr>
        <w:pStyle w:val="Heading1"/>
        <w:rPr>
          <w:u w:val="none"/>
        </w:rPr>
      </w:pPr>
      <w:r>
        <w:rPr>
          <w:spacing w:val="-4"/>
        </w:rPr>
        <w:t>Fees</w:t>
      </w:r>
    </w:p>
    <w:p w14:paraId="5BFC6915" w14:textId="77777777" w:rsidR="009466A2" w:rsidRDefault="00BB7853">
      <w:pPr>
        <w:pStyle w:val="BodyText"/>
        <w:spacing w:before="41"/>
      </w:pPr>
      <w:r>
        <w:t>The</w:t>
      </w:r>
      <w:r>
        <w:rPr>
          <w:spacing w:val="-2"/>
        </w:rPr>
        <w:t xml:space="preserve"> </w:t>
      </w:r>
      <w:r>
        <w:t>Foundation</w:t>
      </w:r>
      <w:r>
        <w:rPr>
          <w:spacing w:val="-3"/>
        </w:rPr>
        <w:t xml:space="preserve"> </w:t>
      </w:r>
      <w:r>
        <w:t>charges</w:t>
      </w:r>
      <w:r>
        <w:rPr>
          <w:spacing w:val="-2"/>
        </w:rPr>
        <w:t xml:space="preserve"> </w:t>
      </w:r>
      <w:r>
        <w:t>two</w:t>
      </w:r>
      <w:r>
        <w:rPr>
          <w:spacing w:val="-1"/>
        </w:rPr>
        <w:t xml:space="preserve"> </w:t>
      </w:r>
      <w:r>
        <w:t>types</w:t>
      </w:r>
      <w:r>
        <w:rPr>
          <w:spacing w:val="-4"/>
        </w:rPr>
        <w:t xml:space="preserve"> </w:t>
      </w:r>
      <w:r>
        <w:t>of</w:t>
      </w:r>
      <w:r>
        <w:rPr>
          <w:spacing w:val="-2"/>
        </w:rPr>
        <w:t xml:space="preserve"> </w:t>
      </w:r>
      <w:r>
        <w:t>fees</w:t>
      </w:r>
      <w:r>
        <w:rPr>
          <w:spacing w:val="-5"/>
        </w:rPr>
        <w:t xml:space="preserve"> </w:t>
      </w:r>
      <w:r>
        <w:t>on</w:t>
      </w:r>
      <w:r>
        <w:rPr>
          <w:spacing w:val="-5"/>
        </w:rPr>
        <w:t xml:space="preserve"> </w:t>
      </w:r>
      <w:r>
        <w:t>endowed</w:t>
      </w:r>
      <w:r>
        <w:rPr>
          <w:spacing w:val="-3"/>
        </w:rPr>
        <w:t xml:space="preserve"> </w:t>
      </w:r>
      <w:r>
        <w:t>funds: (1)</w:t>
      </w:r>
      <w:r>
        <w:rPr>
          <w:spacing w:val="-4"/>
        </w:rPr>
        <w:t xml:space="preserve"> </w:t>
      </w:r>
      <w:r>
        <w:t>a</w:t>
      </w:r>
      <w:r>
        <w:rPr>
          <w:spacing w:val="-4"/>
        </w:rPr>
        <w:t xml:space="preserve"> </w:t>
      </w:r>
      <w:r>
        <w:t>one-time</w:t>
      </w:r>
      <w:r>
        <w:rPr>
          <w:spacing w:val="-3"/>
        </w:rPr>
        <w:t xml:space="preserve"> </w:t>
      </w:r>
      <w:r>
        <w:t>deposit</w:t>
      </w:r>
      <w:r>
        <w:rPr>
          <w:spacing w:val="-1"/>
        </w:rPr>
        <w:t xml:space="preserve"> </w:t>
      </w:r>
      <w:r>
        <w:t>fee</w:t>
      </w:r>
      <w:r>
        <w:rPr>
          <w:spacing w:val="-2"/>
        </w:rPr>
        <w:t xml:space="preserve"> </w:t>
      </w:r>
      <w:r>
        <w:t>and</w:t>
      </w:r>
      <w:r>
        <w:rPr>
          <w:spacing w:val="-6"/>
        </w:rPr>
        <w:t xml:space="preserve"> </w:t>
      </w:r>
      <w:r>
        <w:t>(2)</w:t>
      </w:r>
      <w:r>
        <w:rPr>
          <w:spacing w:val="-5"/>
        </w:rPr>
        <w:t xml:space="preserve"> </w:t>
      </w:r>
      <w:r>
        <w:t>annual management fee.</w:t>
      </w:r>
    </w:p>
    <w:p w14:paraId="5BFC6916" w14:textId="77777777" w:rsidR="009466A2" w:rsidRDefault="00BB7853">
      <w:pPr>
        <w:pStyle w:val="BodyText"/>
        <w:spacing w:before="268"/>
        <w:ind w:right="184"/>
      </w:pPr>
      <w:r>
        <w:t>The</w:t>
      </w:r>
      <w:r>
        <w:rPr>
          <w:spacing w:val="-2"/>
        </w:rPr>
        <w:t xml:space="preserve"> </w:t>
      </w:r>
      <w:r>
        <w:t>deposit</w:t>
      </w:r>
      <w:r>
        <w:rPr>
          <w:spacing w:val="-1"/>
        </w:rPr>
        <w:t xml:space="preserve"> </w:t>
      </w:r>
      <w:r>
        <w:t>fee</w:t>
      </w:r>
      <w:r>
        <w:rPr>
          <w:spacing w:val="-2"/>
        </w:rPr>
        <w:t xml:space="preserve"> </w:t>
      </w:r>
      <w:r>
        <w:t>is</w:t>
      </w:r>
      <w:r>
        <w:rPr>
          <w:spacing w:val="-5"/>
        </w:rPr>
        <w:t xml:space="preserve"> </w:t>
      </w:r>
      <w:r>
        <w:t>a</w:t>
      </w:r>
      <w:r>
        <w:rPr>
          <w:spacing w:val="-4"/>
        </w:rPr>
        <w:t xml:space="preserve"> </w:t>
      </w:r>
      <w:r>
        <w:t>2</w:t>
      </w:r>
      <w:r>
        <w:rPr>
          <w:spacing w:val="-1"/>
        </w:rPr>
        <w:t xml:space="preserve"> </w:t>
      </w:r>
      <w:r>
        <w:t>percent</w:t>
      </w:r>
      <w:r>
        <w:rPr>
          <w:spacing w:val="-2"/>
        </w:rPr>
        <w:t xml:space="preserve"> </w:t>
      </w:r>
      <w:r>
        <w:t>assessment</w:t>
      </w:r>
      <w:r>
        <w:rPr>
          <w:spacing w:val="-4"/>
        </w:rPr>
        <w:t xml:space="preserve"> </w:t>
      </w:r>
      <w:r>
        <w:t>on</w:t>
      </w:r>
      <w:r>
        <w:rPr>
          <w:spacing w:val="-3"/>
        </w:rPr>
        <w:t xml:space="preserve"> </w:t>
      </w:r>
      <w:r>
        <w:t>all</w:t>
      </w:r>
      <w:r>
        <w:rPr>
          <w:spacing w:val="-2"/>
        </w:rPr>
        <w:t xml:space="preserve"> </w:t>
      </w:r>
      <w:r>
        <w:t>restricted</w:t>
      </w:r>
      <w:r>
        <w:rPr>
          <w:spacing w:val="-3"/>
        </w:rPr>
        <w:t xml:space="preserve"> </w:t>
      </w:r>
      <w:r>
        <w:t>and</w:t>
      </w:r>
      <w:r>
        <w:rPr>
          <w:spacing w:val="-4"/>
        </w:rPr>
        <w:t xml:space="preserve"> </w:t>
      </w:r>
      <w:r>
        <w:t>endowed</w:t>
      </w:r>
      <w:r>
        <w:rPr>
          <w:spacing w:val="-6"/>
        </w:rPr>
        <w:t xml:space="preserve"> </w:t>
      </w:r>
      <w:r>
        <w:t>gifts</w:t>
      </w:r>
      <w:r>
        <w:rPr>
          <w:spacing w:val="-4"/>
        </w:rPr>
        <w:t xml:space="preserve"> </w:t>
      </w:r>
      <w:r>
        <w:t>made</w:t>
      </w:r>
      <w:r>
        <w:rPr>
          <w:spacing w:val="-1"/>
        </w:rPr>
        <w:t xml:space="preserve"> </w:t>
      </w:r>
      <w:r>
        <w:t>to</w:t>
      </w:r>
      <w:r>
        <w:rPr>
          <w:spacing w:val="-1"/>
        </w:rPr>
        <w:t xml:space="preserve"> </w:t>
      </w:r>
      <w:r>
        <w:t>the</w:t>
      </w:r>
      <w:r>
        <w:rPr>
          <w:spacing w:val="-4"/>
        </w:rPr>
        <w:t xml:space="preserve"> </w:t>
      </w:r>
      <w:r>
        <w:t>Foundation. For endowed gifts, the 2 percent fee will be drawn from the spending allocation of each endowed account. In many cases, this will mean that the 2 percent fee is collected over the course of multiple fiscal years. The deposit fee is calculated on all deposits made and transferred to the Foundation’s operating funds each month.</w:t>
      </w:r>
    </w:p>
    <w:p w14:paraId="5BFC6917" w14:textId="77777777" w:rsidR="009466A2" w:rsidRDefault="009466A2">
      <w:pPr>
        <w:pStyle w:val="BodyText"/>
        <w:spacing w:before="1"/>
        <w:ind w:left="0"/>
      </w:pPr>
    </w:p>
    <w:p w14:paraId="5BFC6918" w14:textId="6E9AEA4B" w:rsidR="009466A2" w:rsidRDefault="00BB7853">
      <w:pPr>
        <w:pStyle w:val="BodyText"/>
        <w:ind w:right="168"/>
      </w:pPr>
      <w:r>
        <w:t>Board</w:t>
      </w:r>
      <w:r>
        <w:rPr>
          <w:spacing w:val="-5"/>
        </w:rPr>
        <w:t xml:space="preserve"> </w:t>
      </w:r>
      <w:r>
        <w:t>of</w:t>
      </w:r>
      <w:r>
        <w:rPr>
          <w:spacing w:val="-1"/>
        </w:rPr>
        <w:t xml:space="preserve"> </w:t>
      </w:r>
      <w:r>
        <w:t>Regents’</w:t>
      </w:r>
      <w:r>
        <w:rPr>
          <w:spacing w:val="-4"/>
        </w:rPr>
        <w:t xml:space="preserve"> </w:t>
      </w:r>
      <w:r>
        <w:t>endowment</w:t>
      </w:r>
      <w:r>
        <w:rPr>
          <w:spacing w:val="-1"/>
        </w:rPr>
        <w:t xml:space="preserve"> </w:t>
      </w:r>
      <w:r>
        <w:t>funds</w:t>
      </w:r>
      <w:r>
        <w:rPr>
          <w:spacing w:val="-1"/>
        </w:rPr>
        <w:t xml:space="preserve"> </w:t>
      </w:r>
      <w:r>
        <w:t>are</w:t>
      </w:r>
      <w:r>
        <w:rPr>
          <w:spacing w:val="-3"/>
        </w:rPr>
        <w:t xml:space="preserve"> </w:t>
      </w:r>
      <w:r>
        <w:t>subject</w:t>
      </w:r>
      <w:r>
        <w:rPr>
          <w:spacing w:val="-3"/>
        </w:rPr>
        <w:t xml:space="preserve"> </w:t>
      </w:r>
      <w:r>
        <w:t>to an</w:t>
      </w:r>
      <w:r>
        <w:rPr>
          <w:spacing w:val="-4"/>
        </w:rPr>
        <w:t xml:space="preserve"> </w:t>
      </w:r>
      <w:r>
        <w:t>annual</w:t>
      </w:r>
      <w:r>
        <w:rPr>
          <w:spacing w:val="-1"/>
        </w:rPr>
        <w:t xml:space="preserve"> </w:t>
      </w:r>
      <w:r>
        <w:t>endowment</w:t>
      </w:r>
      <w:r>
        <w:rPr>
          <w:spacing w:val="-4"/>
        </w:rPr>
        <w:t xml:space="preserve"> </w:t>
      </w:r>
      <w:r>
        <w:t>administrative</w:t>
      </w:r>
      <w:r>
        <w:rPr>
          <w:spacing w:val="-1"/>
        </w:rPr>
        <w:t xml:space="preserve"> </w:t>
      </w:r>
      <w:r>
        <w:t>fee</w:t>
      </w:r>
      <w:r>
        <w:rPr>
          <w:spacing w:val="-3"/>
        </w:rPr>
        <w:t xml:space="preserve"> </w:t>
      </w:r>
      <w:r>
        <w:t>of</w:t>
      </w:r>
      <w:r>
        <w:rPr>
          <w:spacing w:val="-3"/>
        </w:rPr>
        <w:t xml:space="preserve"> </w:t>
      </w:r>
      <w:r w:rsidR="00477074">
        <w:rPr>
          <w:spacing w:val="-3"/>
        </w:rPr>
        <w:t>two</w:t>
      </w:r>
      <w:r>
        <w:rPr>
          <w:spacing w:val="-1"/>
        </w:rPr>
        <w:t xml:space="preserve"> </w:t>
      </w:r>
      <w:r>
        <w:t>and one-half percent (</w:t>
      </w:r>
      <w:r w:rsidR="00477074">
        <w:t>2</w:t>
      </w:r>
      <w:r>
        <w:t>.5%), based on the rolling five-year average market value of the endowed portfolio.</w:t>
      </w:r>
    </w:p>
    <w:p w14:paraId="5BFC6919" w14:textId="77777777" w:rsidR="009466A2" w:rsidRDefault="009466A2">
      <w:pPr>
        <w:sectPr w:rsidR="009466A2">
          <w:pgSz w:w="12240" w:h="15840"/>
          <w:pgMar w:top="1400" w:right="1320" w:bottom="1280" w:left="1340" w:header="0" w:footer="1004" w:gutter="0"/>
          <w:cols w:space="720"/>
        </w:sectPr>
      </w:pPr>
    </w:p>
    <w:p w14:paraId="5BFC691A" w14:textId="03AA1AC0" w:rsidR="009466A2" w:rsidRDefault="00BB7853">
      <w:pPr>
        <w:pStyle w:val="BodyText"/>
        <w:spacing w:before="39"/>
        <w:ind w:right="115"/>
      </w:pPr>
      <w:r>
        <w:lastRenderedPageBreak/>
        <w:t xml:space="preserve">General endowment funds are subject to an annual endowment administrative fee of </w:t>
      </w:r>
      <w:r w:rsidR="00477074">
        <w:t>two and one-half</w:t>
      </w:r>
      <w:r>
        <w:t xml:space="preserve"> percent (</w:t>
      </w:r>
      <w:r w:rsidR="003748E8">
        <w:t>2.5</w:t>
      </w:r>
      <w:r>
        <w:t>%),</w:t>
      </w:r>
      <w:r>
        <w:rPr>
          <w:spacing w:val="-2"/>
        </w:rPr>
        <w:t xml:space="preserve"> </w:t>
      </w:r>
      <w:r>
        <w:t>based</w:t>
      </w:r>
      <w:r>
        <w:rPr>
          <w:spacing w:val="-5"/>
        </w:rPr>
        <w:t xml:space="preserve"> </w:t>
      </w:r>
      <w:r>
        <w:t>on</w:t>
      </w:r>
      <w:r>
        <w:rPr>
          <w:spacing w:val="-3"/>
        </w:rPr>
        <w:t xml:space="preserve"> </w:t>
      </w:r>
      <w:r>
        <w:t>the</w:t>
      </w:r>
      <w:r>
        <w:rPr>
          <w:spacing w:val="-2"/>
        </w:rPr>
        <w:t xml:space="preserve"> </w:t>
      </w:r>
      <w:r>
        <w:t>rolling</w:t>
      </w:r>
      <w:r>
        <w:rPr>
          <w:spacing w:val="-2"/>
        </w:rPr>
        <w:t xml:space="preserve"> </w:t>
      </w:r>
      <w:r>
        <w:t>five-year</w:t>
      </w:r>
      <w:r>
        <w:rPr>
          <w:spacing w:val="-2"/>
        </w:rPr>
        <w:t xml:space="preserve"> </w:t>
      </w:r>
      <w:r>
        <w:t>average</w:t>
      </w:r>
      <w:r>
        <w:rPr>
          <w:spacing w:val="-4"/>
        </w:rPr>
        <w:t xml:space="preserve"> </w:t>
      </w:r>
      <w:r>
        <w:t>market</w:t>
      </w:r>
      <w:r>
        <w:rPr>
          <w:spacing w:val="-4"/>
        </w:rPr>
        <w:t xml:space="preserve"> </w:t>
      </w:r>
      <w:r>
        <w:t>value</w:t>
      </w:r>
      <w:r>
        <w:rPr>
          <w:spacing w:val="-2"/>
        </w:rPr>
        <w:t xml:space="preserve"> </w:t>
      </w:r>
      <w:r>
        <w:t>of</w:t>
      </w:r>
      <w:r>
        <w:rPr>
          <w:spacing w:val="-4"/>
        </w:rPr>
        <w:t xml:space="preserve"> </w:t>
      </w:r>
      <w:r>
        <w:t>the</w:t>
      </w:r>
      <w:r>
        <w:rPr>
          <w:spacing w:val="-4"/>
        </w:rPr>
        <w:t xml:space="preserve"> </w:t>
      </w:r>
      <w:r>
        <w:t>endowed</w:t>
      </w:r>
      <w:r>
        <w:rPr>
          <w:spacing w:val="-2"/>
        </w:rPr>
        <w:t xml:space="preserve"> </w:t>
      </w:r>
      <w:r>
        <w:t>portfolio.</w:t>
      </w:r>
      <w:r>
        <w:rPr>
          <w:spacing w:val="40"/>
        </w:rPr>
        <w:t xml:space="preserve"> </w:t>
      </w:r>
      <w:r>
        <w:t>The</w:t>
      </w:r>
      <w:r>
        <w:rPr>
          <w:spacing w:val="-2"/>
        </w:rPr>
        <w:t xml:space="preserve"> </w:t>
      </w:r>
      <w:r>
        <w:t>full</w:t>
      </w:r>
      <w:r>
        <w:rPr>
          <w:spacing w:val="-3"/>
        </w:rPr>
        <w:t xml:space="preserve"> </w:t>
      </w:r>
      <w:r>
        <w:t xml:space="preserve">endowment administrative fee, as calculated, will be transferred to the Foundation’s operating funds at the end of </w:t>
      </w:r>
      <w:proofErr w:type="gramStart"/>
      <w:r>
        <w:t>a fiscal</w:t>
      </w:r>
      <w:proofErr w:type="gramEnd"/>
      <w:r>
        <w:t xml:space="preserve"> year.</w:t>
      </w:r>
    </w:p>
    <w:p w14:paraId="5BFC691B" w14:textId="77777777" w:rsidR="009466A2" w:rsidRDefault="00BB7853">
      <w:pPr>
        <w:pStyle w:val="BodyText"/>
        <w:spacing w:before="268"/>
        <w:ind w:right="184"/>
      </w:pPr>
      <w:r>
        <w:t>The</w:t>
      </w:r>
      <w:r>
        <w:rPr>
          <w:spacing w:val="-2"/>
        </w:rPr>
        <w:t xml:space="preserve"> </w:t>
      </w:r>
      <w:r>
        <w:t>deposit</w:t>
      </w:r>
      <w:r>
        <w:rPr>
          <w:spacing w:val="-1"/>
        </w:rPr>
        <w:t xml:space="preserve"> </w:t>
      </w:r>
      <w:r>
        <w:t>and</w:t>
      </w:r>
      <w:r>
        <w:rPr>
          <w:spacing w:val="-5"/>
        </w:rPr>
        <w:t xml:space="preserve"> </w:t>
      </w:r>
      <w:r>
        <w:t>management</w:t>
      </w:r>
      <w:r>
        <w:rPr>
          <w:spacing w:val="-2"/>
        </w:rPr>
        <w:t xml:space="preserve"> </w:t>
      </w:r>
      <w:r>
        <w:t>fees shall</w:t>
      </w:r>
      <w:r>
        <w:rPr>
          <w:spacing w:val="-3"/>
        </w:rPr>
        <w:t xml:space="preserve"> </w:t>
      </w:r>
      <w:r>
        <w:t>be</w:t>
      </w:r>
      <w:r>
        <w:rPr>
          <w:spacing w:val="-4"/>
        </w:rPr>
        <w:t xml:space="preserve"> </w:t>
      </w:r>
      <w:r>
        <w:t>applied</w:t>
      </w:r>
      <w:r>
        <w:rPr>
          <w:spacing w:val="-2"/>
        </w:rPr>
        <w:t xml:space="preserve"> </w:t>
      </w:r>
      <w:r>
        <w:t>to</w:t>
      </w:r>
      <w:r>
        <w:rPr>
          <w:spacing w:val="-3"/>
        </w:rPr>
        <w:t xml:space="preserve"> </w:t>
      </w:r>
      <w:r>
        <w:t>support</w:t>
      </w:r>
      <w:r>
        <w:rPr>
          <w:spacing w:val="-2"/>
        </w:rPr>
        <w:t xml:space="preserve"> </w:t>
      </w:r>
      <w:r>
        <w:t>the</w:t>
      </w:r>
      <w:r>
        <w:rPr>
          <w:spacing w:val="-4"/>
        </w:rPr>
        <w:t xml:space="preserve"> </w:t>
      </w:r>
      <w:r>
        <w:t>Foundation’s</w:t>
      </w:r>
      <w:r>
        <w:rPr>
          <w:spacing w:val="-4"/>
        </w:rPr>
        <w:t xml:space="preserve"> </w:t>
      </w:r>
      <w:r>
        <w:t>mission</w:t>
      </w:r>
      <w:r>
        <w:rPr>
          <w:spacing w:val="-1"/>
        </w:rPr>
        <w:t xml:space="preserve"> </w:t>
      </w:r>
      <w:r>
        <w:t>and</w:t>
      </w:r>
      <w:r>
        <w:rPr>
          <w:spacing w:val="-3"/>
        </w:rPr>
        <w:t xml:space="preserve"> </w:t>
      </w:r>
      <w:r>
        <w:t>allow</w:t>
      </w:r>
      <w:r>
        <w:rPr>
          <w:spacing w:val="-1"/>
        </w:rPr>
        <w:t xml:space="preserve"> </w:t>
      </w:r>
      <w:r>
        <w:t>the Foundation to invest resources necessary to maintain and expand its fundraising capabilities in furthering</w:t>
      </w:r>
      <w:r>
        <w:rPr>
          <w:spacing w:val="-1"/>
        </w:rPr>
        <w:t xml:space="preserve"> </w:t>
      </w:r>
      <w:r>
        <w:t>its</w:t>
      </w:r>
      <w:r>
        <w:rPr>
          <w:spacing w:val="-2"/>
        </w:rPr>
        <w:t xml:space="preserve"> </w:t>
      </w:r>
      <w:r>
        <w:t>mission</w:t>
      </w:r>
      <w:r>
        <w:rPr>
          <w:spacing w:val="-1"/>
        </w:rPr>
        <w:t xml:space="preserve"> </w:t>
      </w:r>
      <w:r>
        <w:t>of</w:t>
      </w:r>
      <w:r>
        <w:rPr>
          <w:spacing w:val="-3"/>
        </w:rPr>
        <w:t xml:space="preserve"> </w:t>
      </w:r>
      <w:r>
        <w:t>providing</w:t>
      </w:r>
      <w:r>
        <w:rPr>
          <w:spacing w:val="-1"/>
        </w:rPr>
        <w:t xml:space="preserve"> </w:t>
      </w:r>
      <w:r>
        <w:t>increased philanthropic support to the LSU</w:t>
      </w:r>
      <w:r>
        <w:rPr>
          <w:spacing w:val="-3"/>
        </w:rPr>
        <w:t xml:space="preserve"> </w:t>
      </w:r>
      <w:r>
        <w:t>Health</w:t>
      </w:r>
      <w:r>
        <w:rPr>
          <w:spacing w:val="-1"/>
        </w:rPr>
        <w:t xml:space="preserve"> </w:t>
      </w:r>
      <w:r>
        <w:t>Sciences Center. The deposit fee and annual management fee levels will be reviewed periodically by the Finance Committee and are subject to change.</w:t>
      </w:r>
    </w:p>
    <w:sectPr w:rsidR="009466A2">
      <w:pgSz w:w="12240" w:h="15840"/>
      <w:pgMar w:top="1400" w:right="1320" w:bottom="1200" w:left="1340" w:header="0" w:footer="10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0963A" w14:textId="77777777" w:rsidR="00DB1836" w:rsidRDefault="00DB1836">
      <w:r>
        <w:separator/>
      </w:r>
    </w:p>
  </w:endnote>
  <w:endnote w:type="continuationSeparator" w:id="0">
    <w:p w14:paraId="6224B50A" w14:textId="77777777" w:rsidR="00DB1836" w:rsidRDefault="00DB1836">
      <w:r>
        <w:continuationSeparator/>
      </w:r>
    </w:p>
  </w:endnote>
  <w:endnote w:type="continuationNotice" w:id="1">
    <w:p w14:paraId="44CA7C72" w14:textId="77777777" w:rsidR="00DB1836" w:rsidRDefault="00DB18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A6E21" w14:textId="77777777" w:rsidR="008E207C" w:rsidRDefault="008E207C">
    <w:pPr>
      <w:pStyle w:val="BodyText"/>
      <w:spacing w:line="14" w:lineRule="auto"/>
      <w:ind w:left="0"/>
      <w:rPr>
        <w:sz w:val="20"/>
      </w:rPr>
    </w:pPr>
  </w:p>
  <w:p w14:paraId="5BFC691E" w14:textId="724CD0FD" w:rsidR="009466A2" w:rsidRDefault="00BB7853">
    <w:pPr>
      <w:pStyle w:val="BodyText"/>
      <w:spacing w:line="14" w:lineRule="auto"/>
      <w:ind w:left="0"/>
      <w:rPr>
        <w:sz w:val="20"/>
      </w:rPr>
    </w:pPr>
    <w:r>
      <w:rPr>
        <w:noProof/>
      </w:rPr>
      <mc:AlternateContent>
        <mc:Choice Requires="wps">
          <w:drawing>
            <wp:anchor distT="0" distB="0" distL="0" distR="0" simplePos="0" relativeHeight="251658240" behindDoc="1" locked="0" layoutInCell="1" allowOverlap="1" wp14:anchorId="5BFC691F" wp14:editId="5BFC6920">
              <wp:simplePos x="0" y="0"/>
              <wp:positionH relativeFrom="page">
                <wp:posOffset>896416</wp:posOffset>
              </wp:positionH>
              <wp:positionV relativeFrom="page">
                <wp:posOffset>9242755</wp:posOffset>
              </wp:positionV>
              <wp:extent cx="5981065"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5"/>
                            </a:lnTo>
                            <a:lnTo>
                              <a:pt x="5981065" y="6095"/>
                            </a:lnTo>
                            <a:lnTo>
                              <a:pt x="598106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2A0BA540" id="Graphic 1" o:spid="_x0000_s1026" style="position:absolute;margin-left:70.6pt;margin-top:727.8pt;width:470.95pt;height:.5pt;z-index:-15779840;visibility:visible;mso-wrap-style:square;mso-wrap-distance-left:0;mso-wrap-distance-top:0;mso-wrap-distance-right:0;mso-wrap-distance-bottom:0;mso-position-horizontal:absolute;mso-position-horizontal-relative:page;mso-position-vertical:absolute;mso-position-vertical-relative:page;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" path="m5981065,l,,,6095r5981065,l5981065,xe" fillcolor="#d9d9d9" stroked="f">
              <v:path arrowok="t"/>
              <w10:wrap anchorx="page" anchory="page"/>
            </v:shape>
          </w:pict>
        </mc:Fallback>
      </mc:AlternateContent>
    </w:r>
    <w:r>
      <w:rPr>
        <w:noProof/>
      </w:rPr>
      <mc:AlternateContent>
        <mc:Choice Requires="wps">
          <w:drawing>
            <wp:anchor distT="0" distB="0" distL="0" distR="0" simplePos="0" relativeHeight="251658241" behindDoc="1" locked="0" layoutInCell="1" allowOverlap="1" wp14:anchorId="5BFC6921" wp14:editId="5BFC6922">
              <wp:simplePos x="0" y="0"/>
              <wp:positionH relativeFrom="page">
                <wp:posOffset>6196329</wp:posOffset>
              </wp:positionH>
              <wp:positionV relativeFrom="page">
                <wp:posOffset>9275774</wp:posOffset>
              </wp:positionV>
              <wp:extent cx="6388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810" cy="165735"/>
                      </a:xfrm>
                      <a:prstGeom prst="rect">
                        <a:avLst/>
                      </a:prstGeom>
                    </wps:spPr>
                    <wps:txbx>
                      <w:txbxContent>
                        <w:p w14:paraId="5BFC6925" w14:textId="77777777" w:rsidR="009466A2" w:rsidRDefault="00BB7853">
                          <w:pPr>
                            <w:pStyle w:val="BodyText"/>
                            <w:spacing w:line="245" w:lineRule="exact"/>
                            <w:ind w:left="60"/>
                          </w:pPr>
                          <w:r>
                            <w:fldChar w:fldCharType="begin"/>
                          </w:r>
                          <w:r>
                            <w:instrText xml:space="preserve"> PAGE </w:instrText>
                          </w:r>
                          <w:r>
                            <w:fldChar w:fldCharType="separate"/>
                          </w:r>
                          <w:r>
                            <w:t>1</w:t>
                          </w:r>
                          <w:r>
                            <w:fldChar w:fldCharType="end"/>
                          </w:r>
                          <w:r>
                            <w:rPr>
                              <w:spacing w:val="1"/>
                            </w:rPr>
                            <w:t xml:space="preserve"> </w:t>
                          </w:r>
                          <w:r>
                            <w:t>|</w:t>
                          </w:r>
                          <w:r>
                            <w:rPr>
                              <w:spacing w:val="-3"/>
                            </w:rPr>
                            <w:t xml:space="preserve"> </w:t>
                          </w:r>
                          <w:r>
                            <w:rPr>
                              <w:color w:val="7E7E7E"/>
                            </w:rPr>
                            <w:t>P</w:t>
                          </w:r>
                          <w:r>
                            <w:rPr>
                              <w:color w:val="7E7E7E"/>
                              <w:spacing w:val="11"/>
                            </w:rPr>
                            <w:t xml:space="preserve"> </w:t>
                          </w:r>
                          <w:r>
                            <w:rPr>
                              <w:color w:val="7E7E7E"/>
                            </w:rPr>
                            <w:t>a</w:t>
                          </w:r>
                          <w:r>
                            <w:rPr>
                              <w:color w:val="7E7E7E"/>
                              <w:spacing w:val="9"/>
                            </w:rPr>
                            <w:t xml:space="preserve"> </w:t>
                          </w:r>
                          <w:r>
                            <w:rPr>
                              <w:color w:val="7E7E7E"/>
                            </w:rPr>
                            <w:t>g</w:t>
                          </w:r>
                          <w:r>
                            <w:rPr>
                              <w:color w:val="7E7E7E"/>
                              <w:spacing w:val="9"/>
                            </w:rPr>
                            <w:t xml:space="preserve"> </w:t>
                          </w:r>
                          <w:r>
                            <w:rPr>
                              <w:color w:val="7E7E7E"/>
                              <w:spacing w:val="-10"/>
                            </w:rPr>
                            <w:t>e</w:t>
                          </w:r>
                        </w:p>
                      </w:txbxContent>
                    </wps:txbx>
                    <wps:bodyPr wrap="square" lIns="0" tIns="0" rIns="0" bIns="0" rtlCol="0">
                      <a:noAutofit/>
                    </wps:bodyPr>
                  </wps:wsp>
                </a:graphicData>
              </a:graphic>
            </wp:anchor>
          </w:drawing>
        </mc:Choice>
        <mc:Fallback>
          <w:pict>
            <v:shapetype w14:anchorId="5BFC6921" id="_x0000_t202" coordsize="21600,21600" o:spt="202" path="m,l,21600r21600,l21600,xe">
              <v:stroke joinstyle="miter"/>
              <v:path gradientshapeok="t" o:connecttype="rect"/>
            </v:shapetype>
            <v:shape id="Textbox 2" o:spid="_x0000_s1026" type="#_x0000_t202" style="position:absolute;margin-left:487.9pt;margin-top:730.4pt;width:50.3pt;height:13.05pt;z-index:-1577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" filled="f" stroked="f">
              <v:textbox inset="0,0,0,0">
                <w:txbxContent>
                  <w:p w14:paraId="5BFC6925" w14:textId="77777777" w:rsidR="009466A2" w:rsidRDefault="00BB7853">
                    <w:pPr>
                      <w:pStyle w:val="BodyText"/>
                      <w:spacing w:line="245" w:lineRule="exact"/>
                      <w:ind w:left="60"/>
                    </w:pPr>
                    <w:r>
                      <w:fldChar w:fldCharType="begin"/>
                    </w:r>
                    <w:r>
                      <w:instrText xml:space="preserve"> PAGE </w:instrText>
                    </w:r>
                    <w:r>
                      <w:fldChar w:fldCharType="separate"/>
                    </w:r>
                    <w:r>
                      <w:t>1</w:t>
                    </w:r>
                    <w:r>
                      <w:fldChar w:fldCharType="end"/>
                    </w:r>
                    <w:r>
                      <w:rPr>
                        <w:spacing w:val="1"/>
                      </w:rPr>
                      <w:t xml:space="preserve"> </w:t>
                    </w:r>
                    <w:r>
                      <w:t>|</w:t>
                    </w:r>
                    <w:r>
                      <w:rPr>
                        <w:spacing w:val="-3"/>
                      </w:rPr>
                      <w:t xml:space="preserve"> </w:t>
                    </w:r>
                    <w:r>
                      <w:rPr>
                        <w:color w:val="7E7E7E"/>
                      </w:rPr>
                      <w:t>P</w:t>
                    </w:r>
                    <w:r>
                      <w:rPr>
                        <w:color w:val="7E7E7E"/>
                        <w:spacing w:val="11"/>
                      </w:rPr>
                      <w:t xml:space="preserve"> </w:t>
                    </w:r>
                    <w:r>
                      <w:rPr>
                        <w:color w:val="7E7E7E"/>
                      </w:rPr>
                      <w:t>a</w:t>
                    </w:r>
                    <w:r>
                      <w:rPr>
                        <w:color w:val="7E7E7E"/>
                        <w:spacing w:val="9"/>
                      </w:rPr>
                      <w:t xml:space="preserve"> </w:t>
                    </w:r>
                    <w:r>
                      <w:rPr>
                        <w:color w:val="7E7E7E"/>
                      </w:rPr>
                      <w:t>g</w:t>
                    </w:r>
                    <w:r>
                      <w:rPr>
                        <w:color w:val="7E7E7E"/>
                        <w:spacing w:val="9"/>
                      </w:rPr>
                      <w:t xml:space="preserve"> </w:t>
                    </w:r>
                    <w:r>
                      <w:rPr>
                        <w:color w:val="7E7E7E"/>
                        <w:spacing w:val="-10"/>
                      </w:rPr>
                      <w:t>e</w:t>
                    </w:r>
                  </w:p>
                </w:txbxContent>
              </v:textbox>
              <w10:wrap anchorx="page" anchory="page"/>
            </v:shape>
          </w:pict>
        </mc:Fallback>
      </mc:AlternateContent>
    </w:r>
    <w:r>
      <w:rPr>
        <w:noProof/>
      </w:rPr>
      <mc:AlternateContent>
        <mc:Choice Requires="wps">
          <w:drawing>
            <wp:anchor distT="0" distB="0" distL="0" distR="0" simplePos="0" relativeHeight="251658242" behindDoc="1" locked="0" layoutInCell="1" allowOverlap="1" wp14:anchorId="5BFC6923" wp14:editId="5BFC6924">
              <wp:simplePos x="0" y="0"/>
              <wp:positionH relativeFrom="page">
                <wp:posOffset>902004</wp:posOffset>
              </wp:positionH>
              <wp:positionV relativeFrom="page">
                <wp:posOffset>9446462</wp:posOffset>
              </wp:positionV>
              <wp:extent cx="87376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760" cy="165735"/>
                      </a:xfrm>
                      <a:prstGeom prst="rect">
                        <a:avLst/>
                      </a:prstGeom>
                    </wps:spPr>
                    <wps:txbx>
                      <w:txbxContent>
                        <w:p w14:paraId="5BFC6926" w14:textId="158033B8" w:rsidR="009466A2" w:rsidRDefault="00BB7853">
                          <w:pPr>
                            <w:pStyle w:val="BodyText"/>
                            <w:spacing w:line="245" w:lineRule="exact"/>
                            <w:ind w:left="20"/>
                          </w:pPr>
                          <w:r>
                            <w:t>As</w:t>
                          </w:r>
                          <w:r>
                            <w:rPr>
                              <w:spacing w:val="-1"/>
                            </w:rPr>
                            <w:t xml:space="preserve"> </w:t>
                          </w:r>
                          <w:r>
                            <w:t>of</w:t>
                          </w:r>
                          <w:r>
                            <w:rPr>
                              <w:spacing w:val="-2"/>
                            </w:rPr>
                            <w:t xml:space="preserve"> 7/1/20</w:t>
                          </w:r>
                          <w:r w:rsidR="008E207C">
                            <w:rPr>
                              <w:spacing w:val="-2"/>
                            </w:rPr>
                            <w:t>24</w:t>
                          </w:r>
                        </w:p>
                      </w:txbxContent>
                    </wps:txbx>
                    <wps:bodyPr wrap="square" lIns="0" tIns="0" rIns="0" bIns="0" rtlCol="0">
                      <a:noAutofit/>
                    </wps:bodyPr>
                  </wps:wsp>
                </a:graphicData>
              </a:graphic>
            </wp:anchor>
          </w:drawing>
        </mc:Choice>
        <mc:Fallback>
          <w:pict>
            <v:shape w14:anchorId="5BFC6923" id="Textbox 3" o:spid="_x0000_s1027" type="#_x0000_t202" style="position:absolute;margin-left:71pt;margin-top:743.8pt;width:68.8pt;height:13.05pt;z-index:-15778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" filled="f" stroked="f">
              <v:textbox inset="0,0,0,0">
                <w:txbxContent>
                  <w:p w14:paraId="5BFC6926" w14:textId="158033B8" w:rsidR="009466A2" w:rsidRDefault="00BB7853">
                    <w:pPr>
                      <w:pStyle w:val="BodyText"/>
                      <w:spacing w:line="245" w:lineRule="exact"/>
                      <w:ind w:left="20"/>
                    </w:pPr>
                    <w:r>
                      <w:t>As</w:t>
                    </w:r>
                    <w:r>
                      <w:rPr>
                        <w:spacing w:val="-1"/>
                      </w:rPr>
                      <w:t xml:space="preserve"> </w:t>
                    </w:r>
                    <w:r>
                      <w:t>of</w:t>
                    </w:r>
                    <w:r>
                      <w:rPr>
                        <w:spacing w:val="-2"/>
                      </w:rPr>
                      <w:t xml:space="preserve"> 7/1/20</w:t>
                    </w:r>
                    <w:r w:rsidR="008E207C">
                      <w:rPr>
                        <w:spacing w:val="-2"/>
                      </w:rPr>
                      <w:t>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D5472" w14:textId="77777777" w:rsidR="00DB1836" w:rsidRDefault="00DB1836">
      <w:r>
        <w:separator/>
      </w:r>
    </w:p>
  </w:footnote>
  <w:footnote w:type="continuationSeparator" w:id="0">
    <w:p w14:paraId="24D49363" w14:textId="77777777" w:rsidR="00DB1836" w:rsidRDefault="00DB1836">
      <w:r>
        <w:continuationSeparator/>
      </w:r>
    </w:p>
  </w:footnote>
  <w:footnote w:type="continuationNotice" w:id="1">
    <w:p w14:paraId="13CBC640" w14:textId="77777777" w:rsidR="00DB1836" w:rsidRDefault="00DB183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5027EF"/>
    <w:multiLevelType w:val="hybridMultilevel"/>
    <w:tmpl w:val="4F48F004"/>
    <w:lvl w:ilvl="0" w:tplc="614C2164">
      <w:start w:val="1"/>
      <w:numFmt w:val="decimal"/>
      <w:lvlText w:val="%1."/>
      <w:lvlJc w:val="left"/>
      <w:pPr>
        <w:ind w:left="820" w:hanging="360"/>
        <w:jc w:val="left"/>
      </w:pPr>
      <w:rPr>
        <w:rFonts w:ascii="Calibri" w:eastAsia="Calibri" w:hAnsi="Calibri" w:cs="Calibri" w:hint="default"/>
        <w:b w:val="0"/>
        <w:bCs w:val="0"/>
        <w:i w:val="0"/>
        <w:iCs w:val="0"/>
        <w:spacing w:val="0"/>
        <w:w w:val="100"/>
        <w:sz w:val="22"/>
        <w:szCs w:val="22"/>
        <w:lang w:val="en-US" w:eastAsia="en-US" w:bidi="ar-SA"/>
      </w:rPr>
    </w:lvl>
    <w:lvl w:ilvl="1" w:tplc="69682BE8">
      <w:numFmt w:val="bullet"/>
      <w:lvlText w:val="•"/>
      <w:lvlJc w:val="left"/>
      <w:pPr>
        <w:ind w:left="1696" w:hanging="360"/>
      </w:pPr>
      <w:rPr>
        <w:rFonts w:hint="default"/>
        <w:lang w:val="en-US" w:eastAsia="en-US" w:bidi="ar-SA"/>
      </w:rPr>
    </w:lvl>
    <w:lvl w:ilvl="2" w:tplc="C37CDD4C">
      <w:numFmt w:val="bullet"/>
      <w:lvlText w:val="•"/>
      <w:lvlJc w:val="left"/>
      <w:pPr>
        <w:ind w:left="2572" w:hanging="360"/>
      </w:pPr>
      <w:rPr>
        <w:rFonts w:hint="default"/>
        <w:lang w:val="en-US" w:eastAsia="en-US" w:bidi="ar-SA"/>
      </w:rPr>
    </w:lvl>
    <w:lvl w:ilvl="3" w:tplc="5732ADC4">
      <w:numFmt w:val="bullet"/>
      <w:lvlText w:val="•"/>
      <w:lvlJc w:val="left"/>
      <w:pPr>
        <w:ind w:left="3448" w:hanging="360"/>
      </w:pPr>
      <w:rPr>
        <w:rFonts w:hint="default"/>
        <w:lang w:val="en-US" w:eastAsia="en-US" w:bidi="ar-SA"/>
      </w:rPr>
    </w:lvl>
    <w:lvl w:ilvl="4" w:tplc="CFDE0FDA">
      <w:numFmt w:val="bullet"/>
      <w:lvlText w:val="•"/>
      <w:lvlJc w:val="left"/>
      <w:pPr>
        <w:ind w:left="4324" w:hanging="360"/>
      </w:pPr>
      <w:rPr>
        <w:rFonts w:hint="default"/>
        <w:lang w:val="en-US" w:eastAsia="en-US" w:bidi="ar-SA"/>
      </w:rPr>
    </w:lvl>
    <w:lvl w:ilvl="5" w:tplc="6B6C928A">
      <w:numFmt w:val="bullet"/>
      <w:lvlText w:val="•"/>
      <w:lvlJc w:val="left"/>
      <w:pPr>
        <w:ind w:left="5200" w:hanging="360"/>
      </w:pPr>
      <w:rPr>
        <w:rFonts w:hint="default"/>
        <w:lang w:val="en-US" w:eastAsia="en-US" w:bidi="ar-SA"/>
      </w:rPr>
    </w:lvl>
    <w:lvl w:ilvl="6" w:tplc="2A42AC94">
      <w:numFmt w:val="bullet"/>
      <w:lvlText w:val="•"/>
      <w:lvlJc w:val="left"/>
      <w:pPr>
        <w:ind w:left="6076" w:hanging="360"/>
      </w:pPr>
      <w:rPr>
        <w:rFonts w:hint="default"/>
        <w:lang w:val="en-US" w:eastAsia="en-US" w:bidi="ar-SA"/>
      </w:rPr>
    </w:lvl>
    <w:lvl w:ilvl="7" w:tplc="5AFCF390">
      <w:numFmt w:val="bullet"/>
      <w:lvlText w:val="•"/>
      <w:lvlJc w:val="left"/>
      <w:pPr>
        <w:ind w:left="6952" w:hanging="360"/>
      </w:pPr>
      <w:rPr>
        <w:rFonts w:hint="default"/>
        <w:lang w:val="en-US" w:eastAsia="en-US" w:bidi="ar-SA"/>
      </w:rPr>
    </w:lvl>
    <w:lvl w:ilvl="8" w:tplc="7D92C4A2">
      <w:numFmt w:val="bullet"/>
      <w:lvlText w:val="•"/>
      <w:lvlJc w:val="left"/>
      <w:pPr>
        <w:ind w:left="7828" w:hanging="360"/>
      </w:pPr>
      <w:rPr>
        <w:rFonts w:hint="default"/>
        <w:lang w:val="en-US" w:eastAsia="en-US" w:bidi="ar-SA"/>
      </w:rPr>
    </w:lvl>
  </w:abstractNum>
  <w:num w:numId="1" w16cid:durableId="1347517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6A2"/>
    <w:rsid w:val="00061AA3"/>
    <w:rsid w:val="0007644F"/>
    <w:rsid w:val="003568B1"/>
    <w:rsid w:val="003748E8"/>
    <w:rsid w:val="00477074"/>
    <w:rsid w:val="00574996"/>
    <w:rsid w:val="005F0F58"/>
    <w:rsid w:val="008E207C"/>
    <w:rsid w:val="009466A2"/>
    <w:rsid w:val="00BB7853"/>
    <w:rsid w:val="00CE16FD"/>
    <w:rsid w:val="00D0083C"/>
    <w:rsid w:val="00DB1836"/>
    <w:rsid w:val="00EF5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C68E5"/>
  <w15:docId w15:val="{3B2099FE-A482-4464-A881-4AA4877E6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Title">
    <w:name w:val="Title"/>
    <w:basedOn w:val="Normal"/>
    <w:uiPriority w:val="10"/>
    <w:qFormat/>
    <w:pPr>
      <w:spacing w:before="1"/>
      <w:ind w:right="15"/>
      <w:jc w:val="center"/>
    </w:pPr>
    <w:rPr>
      <w:b/>
      <w:bCs/>
      <w:sz w:val="24"/>
      <w:szCs w:val="24"/>
    </w:rPr>
  </w:style>
  <w:style w:type="paragraph" w:styleId="ListParagraph">
    <w:name w:val="List Paragraph"/>
    <w:basedOn w:val="Normal"/>
    <w:uiPriority w:val="1"/>
    <w:qFormat/>
    <w:pPr>
      <w:spacing w:before="41"/>
      <w:ind w:left="818" w:hanging="35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E207C"/>
    <w:pPr>
      <w:tabs>
        <w:tab w:val="center" w:pos="4680"/>
        <w:tab w:val="right" w:pos="9360"/>
      </w:tabs>
    </w:pPr>
  </w:style>
  <w:style w:type="character" w:customStyle="1" w:styleId="HeaderChar">
    <w:name w:val="Header Char"/>
    <w:basedOn w:val="DefaultParagraphFont"/>
    <w:link w:val="Header"/>
    <w:uiPriority w:val="99"/>
    <w:rsid w:val="008E207C"/>
    <w:rPr>
      <w:rFonts w:ascii="Calibri" w:eastAsia="Calibri" w:hAnsi="Calibri" w:cs="Calibri"/>
    </w:rPr>
  </w:style>
  <w:style w:type="paragraph" w:styleId="Footer">
    <w:name w:val="footer"/>
    <w:basedOn w:val="Normal"/>
    <w:link w:val="FooterChar"/>
    <w:uiPriority w:val="99"/>
    <w:unhideWhenUsed/>
    <w:rsid w:val="008E207C"/>
    <w:pPr>
      <w:tabs>
        <w:tab w:val="center" w:pos="4680"/>
        <w:tab w:val="right" w:pos="9360"/>
      </w:tabs>
    </w:pPr>
  </w:style>
  <w:style w:type="character" w:customStyle="1" w:styleId="FooterChar">
    <w:name w:val="Footer Char"/>
    <w:basedOn w:val="DefaultParagraphFont"/>
    <w:link w:val="Footer"/>
    <w:uiPriority w:val="99"/>
    <w:rsid w:val="008E207C"/>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958e21a-bae0-4622-90f4-5de35dff99b1">
      <Terms xmlns="http://schemas.microsoft.com/office/infopath/2007/PartnerControls"/>
    </lcf76f155ced4ddcb4097134ff3c332f>
    <TaxCatchAll xmlns="93228bf9-820d-403c-a435-b9aa0f65460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BA72A724475647B72E973198A0DC07" ma:contentTypeVersion="18" ma:contentTypeDescription="Create a new document." ma:contentTypeScope="" ma:versionID="38e16dcb27c68139a2419d3699dfbd14">
  <xsd:schema xmlns:xsd="http://www.w3.org/2001/XMLSchema" xmlns:xs="http://www.w3.org/2001/XMLSchema" xmlns:p="http://schemas.microsoft.com/office/2006/metadata/properties" xmlns:ns2="93228bf9-820d-403c-a435-b9aa0f65460e" xmlns:ns3="b958e21a-bae0-4622-90f4-5de35dff99b1" targetNamespace="http://schemas.microsoft.com/office/2006/metadata/properties" ma:root="true" ma:fieldsID="a5661e062164063788805a55e001ba15" ns2:_="" ns3:_="">
    <xsd:import namespace="93228bf9-820d-403c-a435-b9aa0f65460e"/>
    <xsd:import namespace="b958e21a-bae0-4622-90f4-5de35dff99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28bf9-820d-403c-a435-b9aa0f6546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b51dba8-0312-4f2c-94dd-21f6303305de}" ma:internalName="TaxCatchAll" ma:showField="CatchAllData" ma:web="93228bf9-820d-403c-a435-b9aa0f654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958e21a-bae0-4622-90f4-5de35dff99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3e00c0-5e79-4a01-96ce-655597374e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D84EF-2A67-40B9-A401-3738F78AD5F6}">
  <ds:schemaRefs>
    <ds:schemaRef ds:uri="http://schemas.microsoft.com/sharepoint/v3/contenttype/forms"/>
  </ds:schemaRefs>
</ds:datastoreItem>
</file>

<file path=customXml/itemProps2.xml><?xml version="1.0" encoding="utf-8"?>
<ds:datastoreItem xmlns:ds="http://schemas.openxmlformats.org/officeDocument/2006/customXml" ds:itemID="{A4087CC9-CBCE-4158-8D03-B48CFD0C192D}">
  <ds:schemaRefs>
    <ds:schemaRef ds:uri="http://schemas.microsoft.com/office/2006/metadata/properties"/>
    <ds:schemaRef ds:uri="http://schemas.microsoft.com/office/infopath/2007/PartnerControls"/>
    <ds:schemaRef ds:uri="b958e21a-bae0-4622-90f4-5de35dff99b1"/>
    <ds:schemaRef ds:uri="93228bf9-820d-403c-a435-b9aa0f65460e"/>
  </ds:schemaRefs>
</ds:datastoreItem>
</file>

<file path=customXml/itemProps3.xml><?xml version="1.0" encoding="utf-8"?>
<ds:datastoreItem xmlns:ds="http://schemas.openxmlformats.org/officeDocument/2006/customXml" ds:itemID="{3495F121-3B80-4945-8985-9A2499E39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28bf9-820d-403c-a435-b9aa0f65460e"/>
    <ds:schemaRef ds:uri="b958e21a-bae0-4622-90f4-5de35dff99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41F055-95BE-446B-884D-0697CDF9D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1590</Words>
  <Characters>8863</Characters>
  <Application>Microsoft Office Word</Application>
  <DocSecurity>0</DocSecurity>
  <Lines>141</Lines>
  <Paragraphs>37</Paragraphs>
  <ScaleCrop>false</ScaleCrop>
  <HeadingPairs>
    <vt:vector size="2" baseType="variant">
      <vt:variant>
        <vt:lpstr>Title</vt:lpstr>
      </vt:variant>
      <vt:variant>
        <vt:i4>1</vt:i4>
      </vt:variant>
    </vt:vector>
  </HeadingPairs>
  <TitlesOfParts>
    <vt:vector size="1" baseType="lpstr">
      <vt:lpstr/>
    </vt:vector>
  </TitlesOfParts>
  <Company>LSUHSC</Company>
  <LinksUpToDate>false</LinksUpToDate>
  <CharactersWithSpaces>10413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Adrienne Kiefer</cp:lastModifiedBy>
  <cp:revision>4</cp:revision>
  <cp:lastPrinted>2026-02-02T17:34:00Z</cp:lastPrinted>
  <dcterms:created xsi:type="dcterms:W3CDTF">2024-10-25T20:08:00Z</dcterms:created>
  <dcterms:modified xsi:type="dcterms:W3CDTF">2026-02-02T17:34:00Z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2020-12-01T00:00:00Z</vt:filetime>
  </property>
  <property fmtid="{D5CDD505-2E9C-101B-9397-08002B2CF9AE}" pid="3" name="Creator">
    <vt:lpwstr>Microsoft® Word for Microsoft 365</vt:lpwstr>
  </property>
  <property fmtid="{D5CDD505-2E9C-101B-9397-08002B2CF9AE}" pid="4" name="LastSaved">
    <vt:filetime>2024-10-25T00:00:00Z</vt:filetime>
  </property>
  <property fmtid="{D5CDD505-2E9C-101B-9397-08002B2CF9AE}" pid="5" name="Producer">
    <vt:lpwstr>Microsoft® Word for Microsoft 365</vt:lpwstr>
  </property>
  <property fmtid="{D5CDD505-2E9C-101B-9397-08002B2CF9AE}" pid="6" name="ContentTypeId">
    <vt:lpwstr>0x01010005BA72A724475647B72E973198A0DC07</vt:lpwstr>
  </property>
  <property fmtid="{D5CDD505-2E9C-101B-9397-08002B2CF9AE}" pid="7" name="MediaServiceImageTags">
    <vt:lpwstr/>
  </property>
</Properties>
</file>